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22582310f84b6f" /></Relationships>
</file>

<file path=word/document.xml><?xml version="1.0" encoding="utf-8"?>
<w:document xmlns:w="http://schemas.openxmlformats.org/wordprocessingml/2006/main">
  <w:body>
    <w:p>
      <w:r>
        <w:t>H-1254.1</w:t>
      </w:r>
    </w:p>
    <w:p>
      <w:pPr>
        <w:jc w:val="center"/>
      </w:pPr>
      <w:r>
        <w:t>_______________________________________________</w:t>
      </w:r>
    </w:p>
    <w:p/>
    <w:p>
      <w:pPr>
        <w:jc w:val="center"/>
      </w:pPr>
      <w:r>
        <w:rPr>
          <w:b/>
        </w:rPr>
        <w:t>SUBSTITUTE HOUSE BILL 1534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Orwall, Berry, and Fosse)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protections for consumers in the construction industry; amending RCW 18.27.010, 18.27.030, 18.27.040, 18.27.340, 18.27.400, and 51.44.190; reenacting and amending RCW 43.79A.040; adding new sections to chapter 18.27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an applicant operating with all or part of the assets of another entity previously registered under this chapter, where the applicant is under substantially common ownership, management, or control of the other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 </w:t>
      </w:r>
      <w:r>
        <w:rPr>
          <w:u w:val="single"/>
        </w:rPr>
        <w:t xml:space="preserve">or individual taxpayer identification number</w:t>
      </w:r>
      <w:r>
        <w:rPr/>
        <w:t xml:space="preserve">.</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an entity with an unsatisfied final judgment against it in an action that was incurred for work performed subject to this chapter or owes the department money for penalties assessed or fees due under this chapter as a result of a final judgment, except as provided under (d) of this subsection (3);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u w:val="single"/>
        </w:rPr>
        <w:t xml:space="preserve">(d) For the purposes of (a)(iii) of this subsection (3), it is presumed that an applicant knew or should have known of the relevant unsatisfied final judgment. If an applicant demonstrates by a preponderance of the evidence that the applicant did not know of the unsatisfied final judgment, by having exercised due diligence and timely verifying with the department that the other contractor was in good standing, then the department may grant the application for registration under this section, provided that the applicant meets applicable requirements under this chapter. The department shall adopt rules for the purposes of implementing this subsection (3)(d).</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r>
        <w:rPr>
          <w:u w:val="single"/>
        </w:rPr>
        <w:t xml:space="preserve">, unless the applicant or registrant is a successor to said party under subsection (3)(a)(iii)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w:t>
      </w:r>
      <w:r>
        <w:t>((</w:t>
      </w:r>
      <w:r>
        <w:rPr>
          <w:strike/>
        </w:rPr>
        <w:t xml:space="preserve">required of a general contractor by this section</w:t>
      </w:r>
      <w:r>
        <w:t>))</w:t>
      </w:r>
      <w:r>
        <w:rPr/>
        <w:t xml:space="preserve"> to claimants other than residential homeowners must not exceed one-half of the bond </w:t>
      </w:r>
      <w:r>
        <w:t>((</w:t>
      </w:r>
      <w:r>
        <w:rPr>
          <w:strike/>
        </w:rPr>
        <w:t xml:space="preserve">amount. The total amount paid from a bond or deposit required of a specialty contractor by this section to claimants other than residential homeowners must not exceed one-half of the bond amount or four thousand dollars, whichever is greater</w:t>
      </w:r>
      <w:r>
        <w:t>))</w:t>
      </w:r>
      <w:r>
        <w:rPr/>
        <w:t xml:space="preserve"> </w:t>
      </w:r>
      <w:r>
        <w:rPr>
          <w:u w:val="single"/>
        </w:rPr>
        <w:t xml:space="preserve">or deposit</w:t>
      </w:r>
      <w:r>
        <w:rPr/>
        <w:t xml:space="preserve">.</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$6,000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claimant is eligible to recover from the homeowner recovery program after making a claim, provided that each of the following conditions is satisfied:</w:t>
      </w:r>
    </w:p>
    <w:p>
      <w:pPr>
        <w:spacing w:before="0" w:after="0" w:line="408" w:lineRule="exact"/>
        <w:ind w:left="0" w:right="0" w:firstLine="576"/>
        <w:jc w:val="left"/>
      </w:pPr>
      <w:r>
        <w:rPr/>
        <w:t xml:space="preserve">(i) The claimant has a final judgment in a court of competent jurisdiction against a registered contractor for a claim brought under RCW 18.27.040(3) on the claimant's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The claim for recovery under (b) of this subsection is made within 90 days after the conclusion of any civil action based on the act.</w:t>
      </w:r>
    </w:p>
    <w:p>
      <w:pPr>
        <w:spacing w:before="0" w:after="0" w:line="408" w:lineRule="exact"/>
        <w:ind w:left="0" w:right="0" w:firstLine="576"/>
        <w:jc w:val="left"/>
      </w:pPr>
      <w:r>
        <w:rPr/>
        <w:t xml:space="preserve">(b) The department shall provide for a form on its website for claimants to apply for payment from the account in accordance with this section. The department may determine by rule additional documentation required to complete a claim.</w:t>
      </w:r>
    </w:p>
    <w:p>
      <w:pPr>
        <w:spacing w:before="0" w:after="0" w:line="408" w:lineRule="exact"/>
        <w:ind w:left="0" w:right="0" w:firstLine="576"/>
        <w:jc w:val="left"/>
      </w:pPr>
      <w:r>
        <w:rPr/>
        <w:t xml:space="preserve">(3)(a) The priority of payment for eligible claims must be by the order of receipt by the department, subject to the limitations in this subsection (3). Payment for an eligible claim must be to the full extent of its eligibility, without proration, before consideration of payment for a subsequent claim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under the homeowner recovery program for a fiscal year may not be greater than 80 percent of the account balance calculated at the end of the previous fiscal year.</w:t>
      </w:r>
    </w:p>
    <w:p>
      <w:pPr>
        <w:spacing w:before="0" w:after="0" w:line="408" w:lineRule="exact"/>
        <w:ind w:left="0" w:right="0" w:firstLine="576"/>
        <w:jc w:val="left"/>
      </w:pPr>
      <w:r>
        <w:rPr/>
        <w:t xml:space="preserve">(ii) The department shall create and maintain a waitlist for any eligible claims unpaid due to an insufficient account balance under (d)(i) of this subsection. The waitlist must preserve the order of receipt in accordance with (a) of this subsection. The department may carry over a waitlist and authorize payments to eligible claims from previous fiscal years.</w:t>
      </w:r>
    </w:p>
    <w:p>
      <w:pPr>
        <w:spacing w:before="0" w:after="0" w:line="408" w:lineRule="exact"/>
        <w:ind w:left="0" w:right="0" w:firstLine="576"/>
        <w:jc w:val="left"/>
      </w:pPr>
      <w:r>
        <w:rPr/>
        <w:t xml:space="preserve">(e) Upon any payment from the account to a claimant, the department shall notify the contractor that a payment has been made and shall include any additional information about how to reimburse the account it deems necessary pursuant to subsection (5) of this section.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reimbursement under this section.</w:t>
      </w:r>
    </w:p>
    <w:p>
      <w:pPr>
        <w:spacing w:before="0" w:after="0" w:line="408" w:lineRule="exact"/>
        <w:ind w:left="0" w:right="0" w:firstLine="576"/>
        <w:jc w:val="left"/>
      </w:pPr>
      <w:r>
        <w:rPr/>
        <w:t xml:space="preserve">(4)(a) At the time of payment from the account, the claimant shall assign his or her right, title, and interest in any final judgment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as provided in RCW 43.17.240.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submit an annual report to the appropriate committees of the legislature, in accordance with RCW 43.01.036, on the total applications to and payments made under the homeowner recovery program under section 6 of this act and the status of the homeowner recovery account under section 7 of this act. The department may include recommendations for any changes to the program.</w:t>
      </w:r>
    </w:p>
    <w:p>
      <w:pPr>
        <w:spacing w:before="0" w:after="0" w:line="408" w:lineRule="exact"/>
        <w:ind w:left="0" w:right="0" w:firstLine="576"/>
        <w:jc w:val="left"/>
      </w:pPr>
      <w:r>
        <w:rPr/>
        <w:t xml:space="preserve">(2) This section expires December 31,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4625e757799342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1541855bf41b4" /><Relationship Type="http://schemas.openxmlformats.org/officeDocument/2006/relationships/footer" Target="/word/footer1.xml" Id="R4625e757799342e7" /></Relationships>
</file>