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7afc4a21848e4" /></Relationships>
</file>

<file path=word/document.xml><?xml version="1.0" encoding="utf-8"?>
<w:document xmlns:w="http://schemas.openxmlformats.org/wordprocessingml/2006/main">
  <w:body>
    <w:p>
      <w:r>
        <w:t>H-0706.1</w:t>
      </w:r>
    </w:p>
    <w:p>
      <w:pPr>
        <w:jc w:val="center"/>
      </w:pPr>
      <w:r>
        <w:t>_______________________________________________</w:t>
      </w:r>
    </w:p>
    <w:p/>
    <w:p>
      <w:pPr>
        <w:jc w:val="center"/>
      </w:pPr>
      <w:r>
        <w:rPr>
          <w:b/>
        </w:rPr>
        <w:t>HOUSE BILL 1538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Griffey, Couture, Walsh, Goehner, and Jacobsen</w:t>
      </w:r>
    </w:p>
    <w:p/>
    <w:p>
      <w:r>
        <w:rPr>
          <w:t xml:space="preserve">Read first time 01/24/23.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purpose district malfeasance; amending RCW 36.27.020; adding a new section to chapter 36.96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currently exists confusion over the responsibility for prosecuting official malfeasance and misuse of funds in special purpose districts within the state, and that the attorney general and county prosecutors may have overlapping jurisdiction in some matters. It is the intent of the legislature to confirm that county prosecutors may bring charges against the governing members of special purpose districts that operate within their counties when a crime has been committed within their counties or involving people in their counties. In amending RCW 36.27.020, it is not the intent of the legislature to indicate that county prosecutors did not previously possess such authority or to substantively change the jurisdiction of county prosecuting attorneys.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p>
    <w:p>
      <w:pPr>
        <w:spacing w:before="0" w:after="0" w:line="408" w:lineRule="exact"/>
        <w:ind w:left="0" w:right="0" w:firstLine="576"/>
        <w:jc w:val="left"/>
      </w:pPr>
      <w:r>
        <w:rPr>
          <w:u w:val="single"/>
        </w:rPr>
        <w:t xml:space="preserve">(13) Prosecute any criminal or civil actions involving a special purpose district as defined in RCW 36.96.010 that is located within the boundaries of the county or that imposes taxes, fees, penalties, or legal authority upon any person that resides or works within the county when the conduct or other action giving rise to the civil or criminal action occurred within the county, or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Whenever an action based upon chapter 42.20 RCW or otherwise based on official misconduct is commenced against a member of a governing body, a county legislative authority of a county in which the special purpose district is located may suspend the member of the governing body from office until such action is concluded, and may appoint a person to fill the vacancy as necessary.</w:t>
      </w:r>
    </w:p>
    <w:p>
      <w:pPr>
        <w:spacing w:before="0" w:after="0" w:line="408" w:lineRule="exact"/>
        <w:ind w:left="0" w:right="0" w:firstLine="576"/>
        <w:jc w:val="left"/>
      </w:pPr>
      <w:r>
        <w:rPr/>
        <w:t xml:space="preserve">(2) Upon conviction of any offense under chapter 42.20 RCW or of any conviction involving misconduct in office, the office of any governing body member so convicted shall become vacant as provided for in RCW 42.12.010.</w:t>
      </w:r>
    </w:p>
    <w:p/>
    <w:p>
      <w:pPr>
        <w:jc w:val="center"/>
      </w:pPr>
      <w:r>
        <w:rPr>
          <w:b/>
        </w:rPr>
        <w:t>--- END ---</w:t>
      </w:r>
    </w:p>
    <w:sectPr>
      <w:pgNumType w:start="1"/>
      <w:footerReference xmlns:r="http://schemas.openxmlformats.org/officeDocument/2006/relationships" r:id="R99e29332399f4f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0927660fb4bcb" /><Relationship Type="http://schemas.openxmlformats.org/officeDocument/2006/relationships/footer" Target="/word/footer1.xml" Id="R99e29332399f4f66" /></Relationships>
</file>