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72e13b2d8b403a" /></Relationships>
</file>

<file path=word/document.xml><?xml version="1.0" encoding="utf-8"?>
<w:document xmlns:w="http://schemas.openxmlformats.org/wordprocessingml/2006/main">
  <w:body>
    <w:p>
      <w:r>
        <w:t>H-0687.1</w:t>
      </w:r>
    </w:p>
    <w:p>
      <w:pPr>
        <w:jc w:val="center"/>
      </w:pPr>
      <w:r>
        <w:t>_______________________________________________</w:t>
      </w:r>
    </w:p>
    <w:p/>
    <w:p>
      <w:pPr>
        <w:jc w:val="center"/>
      </w:pPr>
      <w:r>
        <w:rPr>
          <w:b/>
        </w:rPr>
        <w:t>HOUSE BILL 1561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Jacobsen, Griffey, Schmidt, Riccelli, Eslick, and Ryu</w:t>
      </w:r>
    </w:p>
    <w:p/>
    <w:p>
      <w:r>
        <w:rPr>
          <w:t xml:space="preserve">Read first time 01/24/23.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public utility tax exemption threshold and annually adjusting the threshold for inflation; amending RCW 82.16.040;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u w:val="single"/>
        </w:rPr>
        <w:t xml:space="preserve">(1)</w:t>
      </w:r>
      <w:r>
        <w:rPr/>
        <w:t xml:space="preserve"> The provisions of this chapter </w:t>
      </w:r>
      <w:r>
        <w:t>((</w:t>
      </w:r>
      <w:r>
        <w:rPr>
          <w:strike/>
        </w:rPr>
        <w:t xml:space="preserve">shall</w:t>
      </w:r>
      <w:r>
        <w:t>))</w:t>
      </w:r>
      <w:r>
        <w:rPr/>
        <w:t xml:space="preserve"> </w:t>
      </w:r>
      <w:r>
        <w:rPr>
          <w:u w:val="single"/>
        </w:rPr>
        <w:t xml:space="preserve">do</w:t>
      </w:r>
      <w:r>
        <w:rPr/>
        <w:t xml:space="preserve"> not apply to persons engaging in one or more businesses taxable under this chapter whose total gross income is less than </w:t>
      </w:r>
      <w:r>
        <w:t>((</w:t>
      </w:r>
      <w:r>
        <w:rPr>
          <w:strike/>
        </w:rPr>
        <w:t xml:space="preserve">two thousand dollars</w:t>
      </w:r>
      <w:r>
        <w:t>))</w:t>
      </w:r>
      <w:r>
        <w:rPr/>
        <w:t xml:space="preserve"> </w:t>
      </w:r>
      <w:r>
        <w:rPr>
          <w:u w:val="single"/>
        </w:rPr>
        <w:t xml:space="preserve">$4,000</w:t>
      </w:r>
      <w:r>
        <w:rPr/>
        <w:t xml:space="preserve"> for a monthly period or portion thereof.</w:t>
      </w:r>
    </w:p>
    <w:p>
      <w:pPr>
        <w:spacing w:before="0" w:after="0" w:line="408" w:lineRule="exact"/>
        <w:ind w:left="0" w:right="0" w:firstLine="576"/>
        <w:jc w:val="left"/>
      </w:pPr>
      <w:r>
        <w:rPr>
          <w:u w:val="single"/>
        </w:rPr>
        <w:t xml:space="preserve">(2)</w:t>
      </w:r>
      <w:r>
        <w:rPr/>
        <w:t xml:space="preserve"> Any person claiming exemption under this section may be required to file returns even though no tax may be due. If the total gross income for a taxable monthly period is </w:t>
      </w:r>
      <w:r>
        <w:t>((</w:t>
      </w:r>
      <w:r>
        <w:rPr>
          <w:strike/>
        </w:rPr>
        <w:t xml:space="preserve">two thousand dollars</w:t>
      </w:r>
      <w:r>
        <w:t>))</w:t>
      </w:r>
      <w:r>
        <w:rPr/>
        <w:t xml:space="preserve"> </w:t>
      </w:r>
      <w:r>
        <w:rPr>
          <w:u w:val="single"/>
        </w:rPr>
        <w:t xml:space="preserve">$4,000</w:t>
      </w:r>
      <w:r>
        <w:rPr/>
        <w:t xml:space="preserve">, or more, no exemption or deductions from the gross operating revenue is allowed by this provision.</w:t>
      </w:r>
    </w:p>
    <w:p>
      <w:pPr>
        <w:spacing w:before="0" w:after="0" w:line="408" w:lineRule="exact"/>
        <w:ind w:left="0" w:right="0" w:firstLine="576"/>
        <w:jc w:val="left"/>
      </w:pPr>
      <w:r>
        <w:rPr>
          <w:u w:val="single"/>
        </w:rPr>
        <w:t xml:space="preserve">(3) The gross income in this section must be adjusted for inflation every year beginning January 1, 2024, based upon changes in the consumer price index that are published by November 15th of the previous year for the most recent 12-month period.</w:t>
      </w:r>
    </w:p>
    <w:p>
      <w:pPr>
        <w:spacing w:before="0" w:after="0" w:line="408" w:lineRule="exact"/>
        <w:ind w:left="0" w:right="0" w:firstLine="576"/>
        <w:jc w:val="left"/>
      </w:pPr>
      <w:r>
        <w:rPr>
          <w:u w:val="single"/>
        </w:rPr>
        <w:t xml:space="preserve">(4)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053ab62d0af4f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8467f80d1440c" /><Relationship Type="http://schemas.openxmlformats.org/officeDocument/2006/relationships/footer" Target="/word/footer1.xml" Id="R5053ab62d0af4f04" /></Relationships>
</file>