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193c5c7c1453a" /></Relationships>
</file>

<file path=word/document.xml><?xml version="1.0" encoding="utf-8"?>
<w:document xmlns:w="http://schemas.openxmlformats.org/wordprocessingml/2006/main">
  <w:body>
    <w:p>
      <w:r>
        <w:t>H-0288.1</w:t>
      </w:r>
    </w:p>
    <w:p>
      <w:pPr>
        <w:jc w:val="center"/>
      </w:pPr>
      <w:r>
        <w:t>_______________________________________________</w:t>
      </w:r>
    </w:p>
    <w:p/>
    <w:p>
      <w:pPr>
        <w:jc w:val="center"/>
      </w:pPr>
      <w:r>
        <w:rPr>
          <w:b/>
        </w:rPr>
        <w:t>HOUSE BILL 1664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Barnard, Corry, Couture, Dye, Schmidt, Eslick, McClintock, Schmick, Klicker, and Dent</w:t>
      </w:r>
    </w:p>
    <w:p/>
    <w:p>
      <w:r>
        <w:rPr>
          <w:t xml:space="preserve">Read first time 01/30/23.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rural representation on the environmental justice council; amending RCW 70A.02.110; adding a new section to chapter 70A.02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environmental justice council include making recommendations on the distribution of billions of dollars of state revenue and oversight of agency programs and projects that relate to improved environmental outcomes for overburdened communities and vulnerable populations. The legislature finds that 30 of 39 Washington counties are designated as rural counties under state law and that poverty rates are higher in rural counties than urban counties. Ensuring rural representation is important because environmental burdens are not limited to urban areas, and in fact many of the most highly impacted communities in the state, using the department of health's map at least for purposes of the clean energy transformation act, are in rural counties. The legislature intends counties to improve the representation of Washington's people on the environmental justice council by requiring that at least one-half of the council's membership reside in rural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2022 c 181 s 15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except as provided in RCW 70A.65.040(3),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w:t>
      </w:r>
      <w:r>
        <w:rPr>
          <w:u w:val="single"/>
        </w:rPr>
        <w:t xml:space="preserve">At least one-half of the membership of the council must be comprised of persons who reside in a rural county, as defined in RCW 82.14.370. A person appointed to the council to represent a rural county must resign their position on the council effective immediately upon no longer residing in a rural county.</w:t>
      </w:r>
      <w:r>
        <w:rPr/>
        <w:t xml:space="preserv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plus two tribal members as specified in RCW 70A.65.040.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 and</w:t>
      </w:r>
    </w:p>
    <w:p>
      <w:pPr>
        <w:spacing w:before="0" w:after="0" w:line="408" w:lineRule="exact"/>
        <w:ind w:left="0" w:right="0" w:firstLine="576"/>
        <w:jc w:val="left"/>
      </w:pPr>
      <w:r>
        <w:rPr/>
        <w:t xml:space="preserve">(e) To fulfill the responsibilities established for the council in RCW 70A.65.040.</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governor must reappoint the membership of the environmental justice council, established in RCW 70A.02.110, by December 31, 2023, to comply with the requirements of this act, with new councilmembers to begin serving on or before January 1, 2024.</w:t>
      </w:r>
    </w:p>
    <w:p>
      <w:pPr>
        <w:spacing w:before="0" w:after="0" w:line="408" w:lineRule="exact"/>
        <w:ind w:left="0" w:right="0" w:firstLine="576"/>
        <w:jc w:val="left"/>
      </w:pPr>
      <w:r>
        <w:rPr/>
        <w:t xml:space="preserve">(2)(a) The terms of all members of the environmental justice council appointed prior to the effective date of this section terminate December 31, 2023.</w:t>
      </w:r>
    </w:p>
    <w:p>
      <w:pPr>
        <w:spacing w:before="0" w:after="0" w:line="408" w:lineRule="exact"/>
        <w:ind w:left="0" w:right="0" w:firstLine="576"/>
        <w:jc w:val="left"/>
      </w:pPr>
      <w:r>
        <w:rPr/>
        <w:t xml:space="preserve">(b) A member of the environmental justice council appointed prior to the effective date of this section may reapply and is eligible to serve as an environmental justice councilmember for the term beginning January 1, 2024.</w:t>
      </w:r>
    </w:p>
    <w:p>
      <w:pPr>
        <w:spacing w:before="0" w:after="0" w:line="408" w:lineRule="exact"/>
        <w:ind w:left="0" w:right="0" w:firstLine="576"/>
        <w:jc w:val="left"/>
      </w:pPr>
      <w:r>
        <w:rPr/>
        <w:t xml:space="preserve">(3)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b0ccc422ae41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60f54bff34b33" /><Relationship Type="http://schemas.openxmlformats.org/officeDocument/2006/relationships/footer" Target="/word/footer1.xml" Id="Rc1b0ccc422ae41cb" /></Relationships>
</file>