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35b0cad3f43c9" /></Relationships>
</file>

<file path=word/document.xml><?xml version="1.0" encoding="utf-8"?>
<w:document xmlns:w="http://schemas.openxmlformats.org/wordprocessingml/2006/main">
  <w:body>
    <w:p>
      <w:r>
        <w:t>H-0342.6</w:t>
      </w:r>
    </w:p>
    <w:p>
      <w:pPr>
        <w:jc w:val="center"/>
      </w:pPr>
      <w:r>
        <w:t>_______________________________________________</w:t>
      </w:r>
    </w:p>
    <w:p/>
    <w:p>
      <w:pPr>
        <w:jc w:val="center"/>
      </w:pPr>
      <w:r>
        <w:rPr>
          <w:b/>
        </w:rPr>
        <w:t>HOUSE BILL 1674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Fey, Peterson, Reed, Berry, Duerr, and Kloba</w:t>
      </w:r>
    </w:p>
    <w:p/>
    <w:p>
      <w:r>
        <w:rPr>
          <w:t xml:space="preserve">Read first time 01/30/23.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protections for pedestrians and other vulnerable roadway users from dangers posed by certain pickup trucks and sport utility vehicles; amending RCW 46.70.180, 46.61.190, 46.61.235, 46.61.245, 46.61.400, 46.61.440, 46.61.145, 2.68.040, and 46.63.110; reenacting and amending RCW 3.62.090; adding a new section to chapter 46.04 RCW; adding a new section to chapter 46.01 RCW; adding a new section to chapter 43.43 RCW; adding a new section to chapter 43.59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improve protections for pedestrians and other vulnerable roadway users from motor vehicles that pose an increased safety risk to them through consumer and public education, as well as through enhanced enforcement penalties for traffic infractions that pose a particular risk of dire consequences for pedestrians and other vulnerable roadway users in the event of a collision with such a vehicle.</w:t>
      </w:r>
    </w:p>
    <w:p>
      <w:pPr>
        <w:spacing w:before="0" w:after="0" w:line="408" w:lineRule="exact"/>
        <w:ind w:left="0" w:right="0" w:firstLine="576"/>
        <w:jc w:val="left"/>
      </w:pPr>
      <w:r>
        <w:rPr/>
        <w:t xml:space="preserve">Larger motor vehicles cause more severe injuries when they strike pedestrians, bicyclists, and other motorists due to their heavier weight. A vehicle sitting at a greater height with a long hood will have larger front blind spots that could prevent its driver from seeing a small child or someone in a wheelchair directly in front of it. Vehicles with straight, block front grilles that strike a pedestrian's pelvis or chest immediately after the bumper hits the pedestrian's lower extremities can also transfer more energy to a pedestrian's body, increasing the severity of injury. Many pickup trucks and midsize and large sport utility vehicles are more dangerous to pedestrians and other vulnerable roadway users because they are heavier and sit at a significantly greater height than sedans and have straight, block front grilles.</w:t>
      </w:r>
    </w:p>
    <w:p>
      <w:pPr>
        <w:spacing w:before="0" w:after="0" w:line="408" w:lineRule="exact"/>
        <w:ind w:left="0" w:right="0" w:firstLine="576"/>
        <w:jc w:val="left"/>
      </w:pPr>
      <w:r>
        <w:rPr/>
        <w:t xml:space="preserve">The legislature believes that, to protect pedestrians and vulnerable roadway users from the increased risk of severe injury and death, it is imperative to:</w:t>
      </w:r>
    </w:p>
    <w:p>
      <w:pPr>
        <w:spacing w:before="0" w:after="0" w:line="408" w:lineRule="exact"/>
        <w:ind w:left="0" w:right="0" w:firstLine="576"/>
        <w:jc w:val="left"/>
      </w:pPr>
      <w:r>
        <w:rPr/>
        <w:t xml:space="preserve">(1) Warn consumers considering purchasing certain pickup trucks and sport utility vehicles of this increased risk;</w:t>
      </w:r>
    </w:p>
    <w:p>
      <w:pPr>
        <w:spacing w:before="0" w:after="0" w:line="408" w:lineRule="exact"/>
        <w:ind w:left="0" w:right="0" w:firstLine="576"/>
        <w:jc w:val="left"/>
      </w:pPr>
      <w:r>
        <w:rPr/>
        <w:t xml:space="preserve">(2) Increase the total monetary penalties imposed on the driver of certain pickup trucks and sport utility vehicles when traffic infractions that pose a greater danger to pedestrians and vulnerable roadway users in the event of a collision are committed; and</w:t>
      </w:r>
    </w:p>
    <w:p>
      <w:pPr>
        <w:spacing w:before="0" w:after="0" w:line="408" w:lineRule="exact"/>
        <w:ind w:left="0" w:right="0" w:firstLine="576"/>
        <w:jc w:val="left"/>
      </w:pPr>
      <w:r>
        <w:rPr/>
        <w:t xml:space="preserve">(3) Educate the public and drivers of certain pickup trucks and sport utility vehicles of the increased risk these vehicles pose to pedestrians and vulnerable roadway users through public education campaigns.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"Midsize or large sport utility vehicle" means a motor vehicle with a scale weight of 4,000 pounds or more that is designated as a sport utility vehicle by the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2022 c 182 s 211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$200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$200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500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w:t>
      </w:r>
      <w:r>
        <w:rPr>
          <w:u w:val="single"/>
        </w:rPr>
        <w:t xml:space="preserve">,</w:t>
      </w:r>
      <w:r>
        <w:rPr/>
        <w:t xml:space="preserve"> but not be limited to</w:t>
      </w:r>
      <w:r>
        <w:rPr>
          <w:u w:val="single"/>
        </w:rPr>
        <w:t xml:space="preserve">,</w:t>
      </w:r>
      <w:r>
        <w:rPr/>
        <w:t xml:space="preserve">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w:t>
      </w:r>
      <w:r>
        <w:rPr>
          <w:u w:val="single"/>
        </w:rPr>
        <w:t xml:space="preserve">(i)</w:t>
      </w:r>
      <w:r>
        <w:rPr/>
        <w:t xml:space="preserve">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u w:val="single"/>
        </w:rPr>
        <w:t xml:space="preserve">(ii)</w:t>
      </w:r>
      <w:r>
        <w:rPr/>
        <w:t xml:space="preserve"> 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w:t>
      </w:r>
      <w:r>
        <w:t>((</w:t>
      </w:r>
      <w:r>
        <w:rPr>
          <w:strike/>
        </w:rPr>
        <w:t xml:space="preserve">paragraph and subsection (14)(b) of this section</w:t>
      </w:r>
      <w:r>
        <w:t>))</w:t>
      </w:r>
      <w:r>
        <w:rPr/>
        <w:t xml:space="preserve"> </w:t>
      </w:r>
      <w:r>
        <w:rPr>
          <w:u w:val="single"/>
        </w:rPr>
        <w:t xml:space="preserve">subsection (14)(f)(ii) and (b) of this subsection</w:t>
      </w:r>
      <w:r>
        <w:rPr/>
        <w:t xml:space="preserve">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$1,000,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0" w:after="0" w:line="408" w:lineRule="exact"/>
        <w:ind w:left="0" w:right="0" w:firstLine="576"/>
        <w:jc w:val="left"/>
      </w:pPr>
      <w:r>
        <w:rPr>
          <w:u w:val="single"/>
        </w:rPr>
        <w:t xml:space="preserve">(18)(a)(i) For a dealer to show a motor vehicle that is for sale or lease to a potential customer when it is a light truck, as defined in RCW 46.04.271, or a midsize or large sport utility vehicle, as defined in section 2 of this act, without a written disclosure in at least 10 point type, with boldface type used as indicated in (a)(ii)(A) of this subsection, posted on a readily visible area of the motor vehicle that complies with the requirements of (a)(ii) of this subsection.</w:t>
      </w:r>
    </w:p>
    <w:p>
      <w:pPr>
        <w:spacing w:before="0" w:after="0" w:line="408" w:lineRule="exact"/>
        <w:ind w:left="0" w:right="0" w:firstLine="576"/>
        <w:jc w:val="left"/>
      </w:pPr>
      <w:r>
        <w:rPr>
          <w:u w:val="single"/>
        </w:rPr>
        <w:t xml:space="preserve">(ii)(A) A disclosure required under (a)(i) of this subsection must consist of the following text: "Due to its size and weight, this vehicle likely poses increased risk to other roadway users. Drivers of more dangerous vehicles may be subject to more severe penalties for safety infractions, such as for failure to yield to pedestrians and for driving more than 10 miles per hour over the speed limit.</w:t>
      </w:r>
    </w:p>
    <w:p>
      <w:pPr>
        <w:spacing w:before="0" w:after="0" w:line="408" w:lineRule="exact"/>
        <w:ind w:left="0" w:right="0" w:firstLine="576"/>
        <w:jc w:val="left"/>
      </w:pPr>
      <w:r>
        <w:rPr>
          <w:u w:val="single"/>
        </w:rPr>
        <w:t xml:space="preserve">The state of Washington advises consumers considering the purchase or lease of a vehicle of this make and model that larger vehicles cause more severe injuries when they strike pedestrians, bicyclists, and other motorists due to their heavier weight. A vehicle sitting at a greater height with a long hood will have larger front blind spots that could prevent its driver from seeing a small child or someone in a wheelchair directly in front of it. Vehicles with straight, block-front grilles that strike a pedestrian's pelvis or chest immediately after the bumper hits the pedestrian's lower extremities can also transfer more energy to a pedestrian's body, increasing the severity of injury."</w:t>
      </w:r>
    </w:p>
    <w:p>
      <w:pPr>
        <w:spacing w:before="0" w:after="0" w:line="408" w:lineRule="exact"/>
        <w:ind w:left="0" w:right="0" w:firstLine="576"/>
        <w:jc w:val="left"/>
      </w:pPr>
      <w:r>
        <w:rPr>
          <w:u w:val="single"/>
        </w:rPr>
        <w:t xml:space="preserve">(B) A disclosure required under (a)(i) of this subsection must use boldface type for the following portion of text required under (a)(ii)(A) of this subsection: "Due to its size and weight, this vehicle likely poses increased risk to other roadway users. Drivers of more dangerous vehicles may be subject to more severe penalties for safety infractions."</w:t>
      </w:r>
    </w:p>
    <w:p>
      <w:pPr>
        <w:spacing w:before="0" w:after="0" w:line="408" w:lineRule="exact"/>
        <w:ind w:left="0" w:right="0" w:firstLine="576"/>
        <w:jc w:val="left"/>
      </w:pPr>
      <w:r>
        <w:rPr>
          <w:u w:val="single"/>
        </w:rPr>
        <w:t xml:space="preserve">(b)(i) For a dealer to enter into a motor vehicle sales contract for the retail sale or lease of a light truck, as defined in RCW 46.04.271, or of a midsize or large sport utility vehicle, as defined in section 2 of this act, without providing a written disclosure that follows the requirements of (b)(ii) of this subsection to a buyer of a motor vehicle and upon which the dealer obtains the buyer's signature.</w:t>
      </w:r>
    </w:p>
    <w:p>
      <w:pPr>
        <w:spacing w:before="0" w:after="0" w:line="408" w:lineRule="exact"/>
        <w:ind w:left="0" w:right="0" w:firstLine="576"/>
        <w:jc w:val="left"/>
      </w:pPr>
      <w:r>
        <w:rPr>
          <w:u w:val="single"/>
        </w:rPr>
        <w:t xml:space="preserve">(ii)(A) A disclosure required under (b)(i) of this subsection must be written in a typeface that is at least as large as the typeface used in the standard text of the document that contains the disclosure and that is boldfaced, capitalized, underlined, or otherwise set out from the surrounding material so as to be conspicuous.</w:t>
      </w:r>
    </w:p>
    <w:p>
      <w:pPr>
        <w:spacing w:before="0" w:after="0" w:line="408" w:lineRule="exact"/>
        <w:ind w:left="0" w:right="0" w:firstLine="576"/>
        <w:jc w:val="left"/>
      </w:pPr>
      <w:r>
        <w:rPr>
          <w:u w:val="single"/>
        </w:rPr>
        <w:t xml:space="preserve">(B) A disclosure required under (b)(i) of this subsection must consist of the following text: "The state of Washington advises consumers considering the purchase or lease of a vehicle of this make and model that larger vehicles cause more severe injuries when they strike pedestrians, bicyclists, and other motorists due to their heavier weight. A vehicle sitting at a greater height with a long hood will have larger front blind spots that could prevent its driver from seeing a small child or someone in a wheelchair directly in front of it. Vehicles with straight, block front grilles that strike a pedestrian's pelvis or chest immediately after the bumper hits the pedestrian's lower extremities can also transfer more energy to a pedestrian's body, increasing the severity of injury.</w:t>
      </w:r>
    </w:p>
    <w:p>
      <w:pPr>
        <w:spacing w:before="0" w:after="0" w:line="408" w:lineRule="exact"/>
        <w:ind w:left="0" w:right="0" w:firstLine="576"/>
        <w:jc w:val="left"/>
      </w:pPr>
      <w:r>
        <w:rPr>
          <w:u w:val="single"/>
        </w:rPr>
        <w:t xml:space="preserve">Because of the increased risk this vehicle poses to other roadway users, the state of Washington may impose more severe penalties for safety infractions, such as for failure to yield to pedestrians and for driving more than 10 miles per hour over the speed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2020 c 66 s 2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(2)(a) Except when directed to proceed by a duly authorized flagger, or a police officer, or a firefighter vested by law with authority to direct, control, or regulate traffic, every driver of a vehicle approaching a stop sign shall stop except as provided in (b) of this subsection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(b)(i) With the exception of (b)(ii) and (iii) of this subsection, a person operating a bicycle approaching a stop sign shall either:</w:t>
      </w:r>
    </w:p>
    <w:p>
      <w:pPr>
        <w:spacing w:before="0" w:after="0" w:line="408" w:lineRule="exact"/>
        <w:ind w:left="0" w:right="0" w:firstLine="576"/>
        <w:jc w:val="left"/>
      </w:pPr>
      <w:r>
        <w:rPr/>
        <w:t xml:space="preserve">(A) Follow the requirements for approaching a stop sign as specified in (a) of this subsection; or</w:t>
      </w:r>
    </w:p>
    <w:p>
      <w:pPr>
        <w:spacing w:before="0" w:after="0" w:line="408" w:lineRule="exact"/>
        <w:ind w:left="0" w:right="0" w:firstLine="576"/>
        <w:jc w:val="left"/>
      </w:pPr>
      <w:r>
        <w:rPr/>
        <w:t xml:space="preserve">(B) Follow the requirements for approaching a yield sign as specified in subsection (3) of this section.</w:t>
      </w:r>
    </w:p>
    <w:p>
      <w:pPr>
        <w:spacing w:before="0" w:after="0" w:line="408" w:lineRule="exact"/>
        <w:ind w:left="0" w:right="0" w:firstLine="576"/>
        <w:jc w:val="left"/>
      </w:pPr>
      <w:r>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0" w:after="0" w:line="408" w:lineRule="exact"/>
        <w:ind w:left="0" w:right="0" w:firstLine="576"/>
        <w:jc w:val="left"/>
      </w:pPr>
      <w:r>
        <w:rPr>
          <w:u w:val="single"/>
        </w:rPr>
        <w:t xml:space="preserve">(6) An additional fine of $100 shall apply when the driver of a vehicle commits an infraction under this section when the driver's vehicle is a light truck, as defined in RCW 46.04.271, or a midsize or large sport utility vehicle, as defined in section 2 of this act. This fine is not subject to the additional fees and assessments that the base penalty for this violation is subject to under RCW 2.68.040, 3.62.090, and 46.63.110. All receipts from this additional fine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2019 c 214 s 12 are each amended to read as follows:</w:t>
      </w:r>
    </w:p>
    <w:p>
      <w:pPr>
        <w:spacing w:before="0" w:after="0" w:line="408" w:lineRule="exact"/>
        <w:ind w:left="0" w:right="0" w:firstLine="576"/>
        <w:jc w:val="left"/>
      </w:pPr>
      <w:r>
        <w:rPr/>
        <w:t xml:space="preserve">(1) The operator of an approaching vehicle shall stop and remain stopped to allow a pedestrian, bicycle, or personal delivery device to cross the roadway within an unmarked or marked crosswalk when the pedestrian, bicycle, or personal delivery device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bicycle, or personal delivery device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bicycle, or personal delivery device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0" w:after="0" w:line="408" w:lineRule="exact"/>
        <w:ind w:left="0" w:right="0" w:firstLine="576"/>
        <w:jc w:val="left"/>
      </w:pPr>
      <w:r>
        <w:rPr>
          <w:u w:val="single"/>
        </w:rPr>
        <w:t xml:space="preserve">(6) An additional fine of $100 shall apply when the driver of a vehicle commits an infraction under this section when the driver's vehicle is a light truck, as defined in RCW 46.04.271, or a midsize or large sport utility vehicle, as defined in section 2 of this act. This fine is not subject to the additional fees and assessments that the base penalty for this violation is subject to under RCW 2.68.040, 3.62.090, and 46.63.110. All receipts from this additional fine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245</w:t>
      </w:r>
      <w:r>
        <w:rPr/>
        <w:t xml:space="preserve"> and 2010 c 242 s 2 are each amended to read as follows:</w:t>
      </w:r>
    </w:p>
    <w:p>
      <w:pPr>
        <w:spacing w:before="0" w:after="0" w:line="408" w:lineRule="exact"/>
        <w:ind w:left="0" w:right="0" w:firstLine="576"/>
        <w:jc w:val="left"/>
      </w:pPr>
      <w:r>
        <w:rPr/>
        <w:t xml:space="preserve">(1) Notwithstanding the foregoing provisions of this chapter every driver of a vehicle shall exercise due care to avoid colliding with any pedestrian upon any roadway and shall give warning by sounding the horn when necessary and shall exercise proper precaution upon observing any child or any obviously confused or incapacitated person upon a roadway.</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0" w:after="0" w:line="408" w:lineRule="exact"/>
        <w:ind w:left="0" w:right="0" w:firstLine="576"/>
        <w:jc w:val="left"/>
      </w:pPr>
      <w:r>
        <w:rPr>
          <w:u w:val="single"/>
        </w:rPr>
        <w:t xml:space="preserve">(3) An additional fine of $100 shall apply when the driver of a vehicle commits an infraction under this section when the driver's vehicle is a light truck, as defined in RCW 46.04.271, or a midsize or large sport utility vehicle, as defined in section 2 of this act. This fine is not subject to the additional fees and assessments that the base penalty for this violation is subject to under RCW 2.68.040, 3.62.090, and 46.63.110. All receipts from this additional fine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400</w:t>
      </w:r>
      <w:r>
        <w:rPr/>
        <w:t xml:space="preserve"> and 1965 ex.s. c 155 s 54 are each amended to read as follows:</w:t>
      </w:r>
    </w:p>
    <w:p>
      <w:pPr>
        <w:spacing w:before="0" w:after="0" w:line="408" w:lineRule="exact"/>
        <w:ind w:left="0" w:right="0" w:firstLine="576"/>
        <w:jc w:val="left"/>
      </w:pPr>
      <w:r>
        <w:rPr/>
        <w:t xml:space="preserve">(1) No person shall drive a vehicle on a highway at a speed greater than is reasonable and prudent under the conditions and having regard to the actual and potential hazards then existing. In every event speed shall be so controlled as may be necessary to avoid colliding with any person, vehicle or other conveyance on or entering the highway in compliance with legal requirements and the duty of all persons to use due care.</w:t>
      </w:r>
    </w:p>
    <w:p>
      <w:pPr>
        <w:spacing w:before="0" w:after="0" w:line="408" w:lineRule="exact"/>
        <w:ind w:left="0" w:right="0" w:firstLine="576"/>
        <w:jc w:val="left"/>
      </w:pPr>
      <w:r>
        <w:rPr/>
        <w:t xml:space="preserve">(2) Except when a special hazard exists that requires lower speed for compliance with subsection (1) of this section, the limits specified in this section or established as hereinafter authorized shall be maximum lawful speeds, and no person shall drive a vehicle on a highway at a speed in excess of such maximum limits.</w:t>
      </w:r>
    </w:p>
    <w:p>
      <w:pPr>
        <w:spacing w:before="0" w:after="0" w:line="408" w:lineRule="exact"/>
        <w:ind w:left="0" w:right="0" w:firstLine="576"/>
        <w:jc w:val="left"/>
      </w:pPr>
      <w:r>
        <w:rPr/>
        <w:t xml:space="preserve">(a) Twenty-five miles per hour on city and town streets;</w:t>
      </w:r>
    </w:p>
    <w:p>
      <w:pPr>
        <w:spacing w:before="0" w:after="0" w:line="408" w:lineRule="exact"/>
        <w:ind w:left="0" w:right="0" w:firstLine="576"/>
        <w:jc w:val="left"/>
      </w:pPr>
      <w:r>
        <w:rPr/>
        <w:t xml:space="preserve">(b) Fifty miles per hour on county roads;</w:t>
      </w:r>
    </w:p>
    <w:p>
      <w:pPr>
        <w:spacing w:before="0" w:after="0" w:line="408" w:lineRule="exact"/>
        <w:ind w:left="0" w:right="0" w:firstLine="576"/>
        <w:jc w:val="left"/>
      </w:pPr>
      <w:r>
        <w:rPr/>
        <w:t xml:space="preserve">(c) Sixty miles per hour on state highways.</w:t>
      </w:r>
    </w:p>
    <w:p>
      <w:pPr>
        <w:spacing w:before="0" w:after="0" w:line="408" w:lineRule="exact"/>
        <w:ind w:left="0" w:right="0" w:firstLine="576"/>
        <w:jc w:val="left"/>
      </w:pPr>
      <w:r>
        <w:rPr/>
        <w:t xml:space="preserve">The maximum speed limits set forth in this section may be altered as authorized in RCW 46.61.405, 46.61.410, and 46.61.415.</w:t>
      </w:r>
    </w:p>
    <w:p>
      <w:pPr>
        <w:spacing w:before="0" w:after="0" w:line="408" w:lineRule="exact"/>
        <w:ind w:left="0" w:right="0" w:firstLine="576"/>
        <w:jc w:val="left"/>
      </w:pPr>
      <w:r>
        <w:rPr/>
        <w:t xml:space="preserve">(3) The driver of every vehicle shall, consistent with the requirements of subsection (1) of this section, drive at an appropriate reduced speed when approaching and crossing an intersection or railway grade crossing, when approaching and going around a curve, when approaching a hill crest, when traveling upon any narrow or winding roadway, and when special hazard exists with respect to pedestrians or other traffic or by reason of weather or highway conditions.</w:t>
      </w:r>
    </w:p>
    <w:p>
      <w:pPr>
        <w:spacing w:before="0" w:after="0" w:line="408" w:lineRule="exact"/>
        <w:ind w:left="0" w:right="0" w:firstLine="576"/>
        <w:jc w:val="left"/>
      </w:pPr>
      <w:r>
        <w:rPr>
          <w:u w:val="single"/>
        </w:rPr>
        <w:t xml:space="preserve">(4) An additional fine of $100 shall apply when the driver of a vehicle exceeds a maximum lawful speed limit authorized under this section by 10 miles per hour or more and when the driver's vehicle is a light truck, as defined in RCW 46.04.271, or a midsize or large sport utility vehicle, as defined in section 2 of this act. This fine is not subject to the additional fees and assessments that the base penalty for this violation is subject to under RCW 2.68.040, 3.62.090, and 46.63.110. All receipts from this additional fine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440</w:t>
      </w:r>
      <w:r>
        <w:rPr/>
        <w:t xml:space="preserve"> and 2010 c 242 s 4 are each amended to read as follows:</w:t>
      </w:r>
    </w:p>
    <w:p>
      <w:pPr>
        <w:spacing w:before="0" w:after="0" w:line="408" w:lineRule="exact"/>
        <w:ind w:left="0" w:right="0" w:firstLine="576"/>
        <w:jc w:val="left"/>
      </w:pPr>
      <w:r>
        <w:rPr/>
        <w:t xml:space="preserve">(1) Subject to RCW 46.61.400(1), and except in those instances where a lower maximum lawful speed is provided by this chapter or otherwise, it shall be unlawful for the operator of any vehicle to operate the same at a speed in excess of </w:t>
      </w:r>
      <w:r>
        <w:t>((</w:t>
      </w:r>
      <w:r>
        <w:rPr>
          <w:strike/>
        </w:rPr>
        <w:t xml:space="preserve">twenty</w:t>
      </w:r>
      <w:r>
        <w:t>))</w:t>
      </w:r>
      <w:r>
        <w:rPr/>
        <w:t xml:space="preserve"> </w:t>
      </w:r>
      <w:r>
        <w:rPr>
          <w:u w:val="single"/>
        </w:rPr>
        <w:t xml:space="preserve">20</w:t>
      </w:r>
      <w:r>
        <w:rPr/>
        <w:t xml:space="preserve"> miles per hour when operating any vehicle upon a highway either inside or outside an incorporated city or town when passing any marked school or playground crosswalk when such marked crosswalk is fully posted with standard school speed limit signs or standard playground speed limit signs. The speed zone at the crosswalk shall extend </w:t>
      </w:r>
      <w:r>
        <w:t>((</w:t>
      </w:r>
      <w:r>
        <w:rPr>
          <w:strike/>
        </w:rPr>
        <w:t xml:space="preserve">three hundred</w:t>
      </w:r>
      <w:r>
        <w:t>))</w:t>
      </w:r>
      <w:r>
        <w:rPr/>
        <w:t xml:space="preserve"> </w:t>
      </w:r>
      <w:r>
        <w:rPr>
          <w:u w:val="single"/>
        </w:rPr>
        <w:t xml:space="preserve">300</w:t>
      </w:r>
      <w:r>
        <w:rPr/>
        <w:t xml:space="preserve"> feet in either direction from the marked crosswalk.</w:t>
      </w:r>
    </w:p>
    <w:p>
      <w:pPr>
        <w:spacing w:before="0" w:after="0" w:line="408" w:lineRule="exact"/>
        <w:ind w:left="0" w:right="0" w:firstLine="576"/>
        <w:jc w:val="left"/>
      </w:pPr>
      <w:r>
        <w:rPr/>
        <w:t xml:space="preserve">(2) A county or incorporated city or town may create a school or playground speed zone on a highway bordering a marked school or playground, in which zone it is unlawful for a person to operate a vehicle at a speed in excess of </w:t>
      </w:r>
      <w:r>
        <w:t>((</w:t>
      </w:r>
      <w:r>
        <w:rPr>
          <w:strike/>
        </w:rPr>
        <w:t xml:space="preserve">twenty</w:t>
      </w:r>
      <w:r>
        <w:t>))</w:t>
      </w:r>
      <w:r>
        <w:rPr/>
        <w:t xml:space="preserve"> </w:t>
      </w:r>
      <w:r>
        <w:rPr>
          <w:u w:val="single"/>
        </w:rPr>
        <w:t xml:space="preserve">20</w:t>
      </w:r>
      <w:r>
        <w:rPr/>
        <w:t xml:space="preserve"> miles per hour. The school or playground speed zone may extend </w:t>
      </w:r>
      <w:r>
        <w:t>((</w:t>
      </w:r>
      <w:r>
        <w:rPr>
          <w:strike/>
        </w:rPr>
        <w:t xml:space="preserve">three hundred</w:t>
      </w:r>
      <w:r>
        <w:t>))</w:t>
      </w:r>
      <w:r>
        <w:rPr/>
        <w:t xml:space="preserve"> </w:t>
      </w:r>
      <w:r>
        <w:rPr>
          <w:u w:val="single"/>
        </w:rPr>
        <w:t xml:space="preserve">300</w:t>
      </w:r>
      <w:r>
        <w:rPr/>
        <w:t xml:space="preserve"> feet from the border of the school or playground property; however, the speed zone may only include area consistent with active school or playground use.</w:t>
      </w:r>
    </w:p>
    <w:p>
      <w:pPr>
        <w:spacing w:before="0" w:after="0" w:line="408" w:lineRule="exact"/>
        <w:ind w:left="0" w:right="0" w:firstLine="576"/>
        <w:jc w:val="left"/>
      </w:pPr>
      <w:r>
        <w:rPr/>
        <w:t xml:space="preserve">(3) A person found to have committed any infraction relating to speed restrictions within a school or playground speed zone shall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(4) </w:t>
      </w:r>
      <w:r>
        <w:rPr>
          <w:u w:val="single"/>
        </w:rPr>
        <w:t xml:space="preserve">An additional fine of $100 shall apply when the driver of a vehicle exceeds a maximum lawful speed limit authorized under this section by 10 miles per hour or more and when the driver's vehicle is a light truck, as defined in RCW 46.04.271, or a midsize or large sport utility vehicle, as defined in section 2 of this act. This fine is not subject to the additional fees and assessments that the base penalty for this violation is subject to under RCW 2.68.040, 3.62.090, and 46.63.110. All receipts from this additional fine must be deposited into the vulnerable roadway user education account created in RCW 46.61.145.</w:t>
      </w:r>
    </w:p>
    <w:p>
      <w:pPr>
        <w:spacing w:before="0" w:after="0" w:line="408" w:lineRule="exact"/>
        <w:ind w:left="0" w:right="0" w:firstLine="576"/>
        <w:jc w:val="left"/>
      </w:pPr>
      <w:r>
        <w:rPr>
          <w:u w:val="single"/>
        </w:rPr>
        <w:t xml:space="preserve">(5)</w:t>
      </w:r>
      <w:r>
        <w:rPr/>
        <w:t xml:space="preserve"> School districts may erect signs that comply with the uniform state standards adopted and designated by the department of transportation under RCW 47.36.030, informing motorists of the increased monetary penalties assessed for violations of RCW 46.61.235, 46.61.245, or 46.61.261 within a school, playground, or crosswalk speed zone created under subsection (1) or (2)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school zone safety account is created in the custody of the state treasurer. Fifty percent of the moneys collected under subsection (3) of this section and the moneys collected under RCW 46.61.235(5), 46.61.245(2), or 46.61.261(2) shall be deposited into the account. Expenditures from the account may be used only by the Washington traffic safety commission solely to fund projects in local communities to improve school zone safety, pupil transportation safety, and student safety in school bus loading and unloading areas. Only the director of the traffic safety commission or the director's designee may authorize expenditures from the account. The account is subject to allotment procedures under chapter 43.88 RCW, but no appropriation is required for expenditures until July 1, 1999, after which date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2019 c 403 s 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t xml:space="preserve">(b) With any funds remaining once the program support specified in (a) of this subsection has been provided</w:t>
      </w:r>
      <w:r>
        <w:t>((</w:t>
      </w:r>
      <w:r>
        <w:rPr>
          <w:strike/>
        </w:rPr>
        <w:t xml:space="preserve">, support</w:t>
      </w:r>
      <w:r>
        <w:t>))</w:t>
      </w:r>
      <w:r>
        <w:rPr>
          <w:u w:val="single"/>
        </w:rPr>
        <w:t xml:space="preserve">:</w:t>
      </w:r>
    </w:p>
    <w:p>
      <w:pPr>
        <w:spacing w:before="0" w:after="0" w:line="408" w:lineRule="exact"/>
        <w:ind w:left="0" w:right="0" w:firstLine="576"/>
        <w:jc w:val="left"/>
      </w:pPr>
      <w:r>
        <w:rPr>
          <w:u w:val="single"/>
        </w:rPr>
        <w:t xml:space="preserve">(i) Support</w:t>
      </w:r>
      <w:r>
        <w:rPr/>
        <w:t xml:space="preserve"> programs dedicated to increasing awareness by the public of the risks and penalties associated with traffic infractions and offenses committed against vulnerable roadway users</w:t>
      </w:r>
      <w:r>
        <w:rPr>
          <w:u w:val="single"/>
        </w:rPr>
        <w:t xml:space="preserve">; and</w:t>
      </w:r>
    </w:p>
    <w:p>
      <w:pPr>
        <w:spacing w:before="0" w:after="0" w:line="408" w:lineRule="exact"/>
        <w:ind w:left="0" w:right="0" w:firstLine="576"/>
        <w:jc w:val="left"/>
      </w:pPr>
      <w:r>
        <w:rPr>
          <w:u w:val="single"/>
        </w:rPr>
        <w:t xml:space="preserve">(ii) Conduct the educational campaigns required under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2021 c 240 s 14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w:t>
      </w:r>
      <w:r>
        <w:t>((</w:t>
      </w:r>
      <w:r>
        <w:rPr>
          <w:strike/>
        </w:rPr>
        <w:t xml:space="preserve">ten dollars</w:t>
      </w:r>
      <w:r>
        <w:t>))</w:t>
      </w:r>
      <w:r>
        <w:rPr/>
        <w:t xml:space="preserve"> </w:t>
      </w:r>
      <w:r>
        <w:rPr>
          <w:u w:val="single"/>
        </w:rPr>
        <w:t xml:space="preserve">$10</w:t>
      </w:r>
      <w:r>
        <w:rPr/>
        <w:t xml:space="preserve">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w:t>
      </w:r>
      <w:r>
        <w:t>((</w:t>
      </w:r>
      <w:r>
        <w:rPr>
          <w:strike/>
        </w:rPr>
        <w:t xml:space="preserve">ten dollars</w:t>
      </w:r>
      <w:r>
        <w:t>))</w:t>
      </w:r>
      <w:r>
        <w:rPr/>
        <w:t xml:space="preserve"> </w:t>
      </w:r>
      <w:r>
        <w:rPr>
          <w:u w:val="single"/>
        </w:rPr>
        <w:t xml:space="preserve">$10</w:t>
      </w:r>
      <w:r>
        <w:rPr/>
        <w:t xml:space="preserve"> to be assessed on all defendants; and</w:t>
      </w:r>
    </w:p>
    <w:p>
      <w:pPr>
        <w:spacing w:before="0" w:after="0" w:line="408" w:lineRule="exact"/>
        <w:ind w:left="0" w:right="0" w:firstLine="576"/>
        <w:jc w:val="left"/>
      </w:pPr>
      <w:r>
        <w:rPr/>
        <w:t xml:space="preserve">(c) Pursuant to RCW 46.63.110(6), a </w:t>
      </w:r>
      <w:r>
        <w:t>((</w:t>
      </w:r>
      <w:r>
        <w:rPr>
          <w:strike/>
        </w:rPr>
        <w:t xml:space="preserve">ten-dollar</w:t>
      </w:r>
      <w:r>
        <w:t>))</w:t>
      </w:r>
      <w:r>
        <w:rPr/>
        <w:t xml:space="preserve"> </w:t>
      </w:r>
      <w:r>
        <w:rPr>
          <w:u w:val="single"/>
        </w:rPr>
        <w:t xml:space="preserve">$10</w:t>
      </w:r>
      <w:r>
        <w:rPr/>
        <w:t xml:space="preserve">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w:t>
      </w:r>
      <w:r>
        <w:t>((</w:t>
      </w:r>
      <w:r>
        <w:rPr>
          <w:strike/>
        </w:rPr>
        <w:t xml:space="preserve">and</w:t>
      </w:r>
      <w:r>
        <w:t>))</w:t>
      </w:r>
      <w:r>
        <w:rPr/>
        <w:t xml:space="preserve"> 46.61.205</w:t>
      </w:r>
      <w:r>
        <w:rPr>
          <w:u w:val="single"/>
        </w:rPr>
        <w:t xml:space="preserve">, 46.61.235, 46.61.245, 46.61.400, and 46.61.440</w:t>
      </w:r>
      <w:r>
        <w:rPr/>
        <w:t xml:space="preserve">.</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RCW 46.68.067,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2019 c 467 s 5, 2019 c 403 s 11, and 2019 c 65 s 5 are each reenacted and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w:t>
      </w:r>
      <w:r>
        <w:t>((</w:t>
      </w:r>
      <w:r>
        <w:rPr>
          <w:strike/>
        </w:rPr>
        <w:t xml:space="preserve">seventy</w:t>
      </w:r>
      <w:r>
        <w:t>))</w:t>
      </w:r>
      <w:r>
        <w:rPr/>
        <w:t xml:space="preserve"> </w:t>
      </w:r>
      <w:r>
        <w:rPr>
          <w:u w:val="single"/>
        </w:rPr>
        <w:t xml:space="preserve">70</w:t>
      </w:r>
      <w:r>
        <w:rPr/>
        <w:t xml:space="preserve"> percent of such fines, forfeitures, or penalties, which shall be remitted as provided in </w:t>
      </w:r>
      <w:r>
        <w:rPr>
          <w:u w:val="single"/>
        </w:rPr>
        <w:t xml:space="preserve">this chapter and</w:t>
      </w:r>
      <w:r>
        <w:rPr/>
        <w:t xml:space="preserve"> chapters 3.46, 3.50, </w:t>
      </w:r>
      <w:r>
        <w:t>((</w:t>
      </w:r>
      <w:r>
        <w:rPr>
          <w:strike/>
        </w:rPr>
        <w:t xml:space="preserve">3.62,</w:t>
      </w:r>
      <w:r>
        <w:t>))</w:t>
      </w:r>
      <w:r>
        <w:rPr/>
        <w:t xml:space="preserve">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w:t>
      </w:r>
      <w:r>
        <w:t>((</w:t>
      </w:r>
      <w:r>
        <w:rPr>
          <w:strike/>
        </w:rPr>
        <w:t xml:space="preserve">fifty</w:t>
      </w:r>
      <w:r>
        <w:t>))</w:t>
      </w:r>
      <w:r>
        <w:rPr/>
        <w:t xml:space="preserve"> </w:t>
      </w:r>
      <w:r>
        <w:rPr>
          <w:u w:val="single"/>
        </w:rPr>
        <w:t xml:space="preserve">50</w:t>
      </w:r>
      <w:r>
        <w:rPr/>
        <w:t xml:space="preserve">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the additional penalty imposed under RCW 46.20.500, the additional fine imposed under RCW 46.61.110, 46.61.145, 46.61.180, 46.61.185, 46.61.190, </w:t>
      </w:r>
      <w:r>
        <w:t>((</w:t>
      </w:r>
      <w:r>
        <w:rPr>
          <w:strike/>
        </w:rPr>
        <w:t xml:space="preserve">and</w:t>
      </w:r>
      <w:r>
        <w:t>))</w:t>
      </w:r>
      <w:r>
        <w:rPr/>
        <w:t xml:space="preserve"> 46.61.205, </w:t>
      </w:r>
      <w:r>
        <w:rPr>
          <w:u w:val="single"/>
        </w:rPr>
        <w:t xml:space="preserve">46.61.235, 46.61.245, 46.61.400, and 46.61.440,</w:t>
      </w:r>
      <w:r>
        <w:rPr/>
        <w:t xml:space="preserve"> or the penalty assessment imposed under RCW 10.99.080. This section does not apply to the additional monetary penalties under RCW 46.61.165.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w:t>
      </w:r>
      <w:r>
        <w:t>((</w:t>
      </w:r>
      <w:r>
        <w:rPr>
          <w:strike/>
        </w:rPr>
        <w:t xml:space="preserve">and</w:t>
      </w:r>
      <w:r>
        <w:t>))</w:t>
      </w:r>
      <w:r>
        <w:rPr/>
        <w:t xml:space="preserve"> 46.61.205</w:t>
      </w:r>
      <w:r>
        <w:rPr>
          <w:u w:val="single"/>
        </w:rPr>
        <w:t xml:space="preserve">, 46.61.235, 46.61.245, 46.61.400, and 46.61.440</w:t>
      </w:r>
      <w:r>
        <w:rPr/>
        <w:t xml:space="preserve">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maintain a record of motor vehicles registered under chapter 46.16A RCW that meet the definition of light truck, as defined in RCW 46.04.271, and of midsize or large sport utility vehicle, as defined in section 2 of this act. The department may use any available information relevant to vehicle classification including, but not limited to, information sources or databases that provide vehicle model classification information to determine whether a motor vehicle meets the definitions in RCW 46.04.271 and in section 2 of this act.</w:t>
      </w:r>
    </w:p>
    <w:p>
      <w:pPr>
        <w:spacing w:before="0" w:after="0" w:line="408" w:lineRule="exact"/>
        <w:ind w:left="0" w:right="0" w:firstLine="576"/>
        <w:jc w:val="left"/>
      </w:pPr>
      <w:r>
        <w:rPr/>
        <w:t xml:space="preserve">(2) The department shall maintain and publish a list of motor vehicles by make and model and model year that meet the definition of light truck, as defined in RCW 46.04.271, and of midsize or large sport utility vehicle, as defined in section 2 of this act, as a tool to facilitate motor vehicle dealers meeting the requirements of RCW 46.70.180(18). Should a vehicle make, model, and model year include a significant number of vehicles that meet the definition of light truck or of midsize or large sport utility vehicle, as well as vehicles that do not, the department shall include that vehicle make, model, and model year in the list maintained and published under this subsection. A motor vehicle dealer may not be found to be out of compliance with RCW 46.70.180(18) when a disclosure required under RCW 46.70.180(18) is not made for a vehicle that meets the definition of light truck or midsize or large sport utility vehicle when that vehicle is a make, model, and model year that is not included in the department's list maintained and published in accordance with this section on the day the vehicle is shown for violations of RCW 46.70.180(18)(a), or on the day the vehicle is sold for violations of  RCW 46.70.180(18)(b).</w:t>
      </w:r>
    </w:p>
    <w:p>
      <w:pPr>
        <w:spacing w:before="0" w:after="0" w:line="408" w:lineRule="exact"/>
        <w:ind w:left="0" w:right="0" w:firstLine="576"/>
        <w:jc w:val="left"/>
      </w:pPr>
      <w:r>
        <w:rPr/>
        <w:t xml:space="preserve">(3)(a) The department shall provide the owner or owner's authorized representative of a vehicle applying for an original vehicle registration under RCW 46.16A.040 or a vehicle registration renewal under RCW 46.16A.110 with the written text provided in (b) of this subsection when the vehicle is categorized by the department as a light truck, as defined in RCW 46.04.271, or as a midsize or large sport utility vehicle, as defined in section 2 of this act.</w:t>
      </w:r>
    </w:p>
    <w:p>
      <w:pPr>
        <w:spacing w:before="0" w:after="0" w:line="408" w:lineRule="exact"/>
        <w:ind w:left="0" w:right="0" w:firstLine="576"/>
        <w:jc w:val="left"/>
      </w:pPr>
      <w:r>
        <w:rPr/>
        <w:t xml:space="preserve">(b) The written text required under (a) of this subsection must consist of the following: "The state of Washington advises consumers registering a vehicle of this make and model that larger vehicles cause more severe injuries when they strike pedestrians, bicyclists, and other motorists due to their heavier weight. A vehicle sitting at a greater height with a long hood will have larger front blind spots that could prevent its driver from seeing a small child or someone in a wheelchair directly in front of it. Vehicles with straight, block front grilles that strike a pedestrian's pelvis or chest immediately after the bumper hits the pedestrian's lower extremities can also transfer more energy to a pedestrian's body, increasing the severity of injury.</w:t>
      </w:r>
    </w:p>
    <w:p>
      <w:pPr>
        <w:spacing w:before="0" w:after="0" w:line="408" w:lineRule="exact"/>
        <w:ind w:left="0" w:right="0" w:firstLine="576"/>
        <w:jc w:val="left"/>
      </w:pPr>
      <w:r>
        <w:rPr/>
        <w:t xml:space="preserve">Because of the increased risk this vehicle poses to other roadway users, the state of Washington may impose more severe penalties for safety infractions, such as for failure to yield to pedestrians and for driving more than 10 miles per hour over the speed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incorporate the department of licensing's classification of registered motor vehicles as light trucks, as defined in RCW 46.04.271, and of midsize or large sport utility vehicles, as defined in section 2 of this act, into the state patrol's collision and traffic citation reporting system to facilitate the determination of whether the additional fee under RCW 46.61.190, 46.61.235, 46.61.245, 46.61.400, and 46.61.440 applies when a traffic citation for one of these infractions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state traffic safety commission shall conduct periodic educational campaigns to increase awareness of the increased risks to pedestrians and other vulnerable roadway users from light trucks, as defined in RCW 46.04.271, and from midsize and large sport utility vehicles, as defined in section 2 of this act, with an emphasis on informing drivers of these vehicles of the nature of this increased risk. The educational campaign directed to drivers shall include information on the increased fines that apply for certain infractions committed while driving these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f280637068624a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74fb24c7b40f9" /><Relationship Type="http://schemas.openxmlformats.org/officeDocument/2006/relationships/footer" Target="/word/footer1.xml" Id="Rf280637068624a47" /></Relationships>
</file>