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8a963d304679" /></Relationships>
</file>

<file path=word/document.xml><?xml version="1.0" encoding="utf-8"?>
<w:document xmlns:w="http://schemas.openxmlformats.org/wordprocessingml/2006/main">
  <w:body>
    <w:p>
      <w:r>
        <w:t>H-0963.1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Schmick and Chapman</w:t>
      </w:r>
    </w:p>
    <w:p/>
    <w:p>
      <w:r>
        <w:rPr>
          <w:t xml:space="preserve">Read first time 02/01/23.  </w:t>
        </w:rPr>
      </w:r>
      <w:r>
        <w:rPr>
          <w:t xml:space="preserve">Referred to Committee on Labor &amp; Workplace Standards.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protecting workers displaced as a result of finfish aquaculture facility closures; and amending RCW 50.04.075.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50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075</w:t>
      </w:r>
      <w:r>
        <w:rPr/>
        <w:t xml:space="preserve"> and 2018 c 179 s 11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With respect to claims with an effective date prior to July 1, 2012, "dislocated worker" means any individual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Has been terminated or received a notice of termination from employment;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Is eligible for or has exhausted entitlement to unemployment compensation benefits;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unlikely to return to employment in the individual's principal occupation or previous industry because of a diminishing demand for their skills in that occupation or industry.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With respect to claims with an effective date on or after July 1, 2012, "dislocated worker" means any individual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Has been involuntarily and indefinitely separated from employment as a result of a permanent reduction of operations at the individual's place of employment, has separated from a declining occupation, </w:t>
      </w:r>
      <w:r>
        <w:t>((</w:t>
      </w:r>
      <w:r>
        <w:rPr>
          <w:strike/>
        </w:rPr>
        <w:t xml:space="preserve">or</w:t>
      </w:r>
      <w:r>
        <w:t>))</w:t>
      </w:r>
      <w:r>
        <w:rPr/>
        <w:t xml:space="preserve"> has separated from employment as a result of chapter 179, Laws of 2018</w:t>
      </w:r>
      <w:r>
        <w:rPr>
          <w:u w:val="single"/>
        </w:rPr>
        <w:t xml:space="preserve">, or has separated from employment as a result of the denial of commercial finfish net pen aquaculture lease renewal applications or the issuance of order number 202211 by the commissioner of public lands on November 17, 2022</w:t>
      </w:r>
      <w:r>
        <w:rPr/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Is eligible for or has exhausted entitlement to unemployment compensation benefits.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72bc10fcca244c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a5e31757547a4" /><Relationship Type="http://schemas.openxmlformats.org/officeDocument/2006/relationships/footer" Target="/word/footer1.xml" Id="R972bc10fcca244cf" /></Relationships>
</file>