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08831817648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Davis, Mosbrucker, Duerr, Griffey, Walen, Lekanoff, Morgan, Callan, Ramel, Thai, Rule, Ryu, Kloba, Chopp, Pollet, Chapman, Mena, Cortes, Eslick, Bergquist,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comprehensive protections for victims of domestic violence and other violence involving family members or intimate partners; amending RCW 7.105.155, 7.105.255, 10.99.033, 10.99.040, 9.41.340, 9.41.345, 9.41.801, 9.41.804, 7.105.340, 10.21.050, 40.24.030, 42.17A.710, 10.31.100, and 36.28A.410; adding new sections to chapter 43.101 RCW; adding a new section to chapter 2.53 RCW; adding a new section to chapter 7.105 RCW; adding a new section to chapter 43.330 RCW; adding a new section to chapter 36.28A RCW; adding a new section to chapter 2.56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2023, the commission must adopt rules:</w:t>
      </w:r>
    </w:p>
    <w:p>
      <w:pPr>
        <w:spacing w:before="0" w:after="0" w:line="408" w:lineRule="exact"/>
        <w:ind w:left="0" w:right="0" w:firstLine="576"/>
        <w:jc w:val="left"/>
      </w:pPr>
      <w:r>
        <w:rPr/>
        <w:t xml:space="preserve">(a)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rules required under this section, the commission must solicit input from courts of general and limited jurisdiction, local governments, monitoring agencies, and statewide associations representing law enforcement leaders, prosecutors, domestic violence victims, and domestic violence agencies.</w:t>
      </w:r>
    </w:p>
    <w:p>
      <w:pPr>
        <w:spacing w:before="0" w:after="0" w:line="408" w:lineRule="exact"/>
        <w:ind w:left="0" w:right="0" w:firstLine="576"/>
        <w:jc w:val="left"/>
      </w:pPr>
      <w:r>
        <w:rPr/>
        <w:t xml:space="preserve">(3) The commission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office of civil legal aid shall propose a plan to standardize and expand statewide access to civil legal assistance for survivors of domestic violence as defined in RCW 7.105.010 in protection order proceedings initiated in superior and district courts and in family law proceedings. The plan must include the following specific areas of focus:</w:t>
      </w:r>
    </w:p>
    <w:p>
      <w:pPr>
        <w:spacing w:before="0" w:after="0" w:line="408" w:lineRule="exact"/>
        <w:ind w:left="0" w:right="0" w:firstLine="576"/>
        <w:jc w:val="left"/>
      </w:pPr>
      <w:r>
        <w:rPr/>
        <w:t xml:space="preserve">(a) Exploration of how deployment of publicly funded attorneys could integrate with existing networks of community and nonprofit organizations already providing support for domestic violence survivors;</w:t>
      </w:r>
    </w:p>
    <w:p>
      <w:pPr>
        <w:spacing w:before="0" w:after="0" w:line="408" w:lineRule="exact"/>
        <w:ind w:left="0" w:right="0" w:firstLine="576"/>
        <w:jc w:val="left"/>
      </w:pPr>
      <w:r>
        <w:rPr/>
        <w:t xml:space="preserve">(b) Strategies for expanding the number of private attorneys available to provide effective civil legal representation to domestic violence survivors;</w:t>
      </w:r>
    </w:p>
    <w:p>
      <w:pPr>
        <w:spacing w:before="0" w:after="0" w:line="408" w:lineRule="exact"/>
        <w:ind w:left="0" w:right="0" w:firstLine="576"/>
        <w:jc w:val="left"/>
      </w:pPr>
      <w:r>
        <w:rPr/>
        <w:t xml:space="preserve">(c) Strategies for incorporating high quality, culturally responsive, equity and trauma-informed assistance by nonattorneys into delivery systems where appropriate;</w:t>
      </w:r>
    </w:p>
    <w:p>
      <w:pPr>
        <w:spacing w:before="0" w:after="0" w:line="408" w:lineRule="exact"/>
        <w:ind w:left="0" w:right="0" w:firstLine="576"/>
        <w:jc w:val="left"/>
      </w:pPr>
      <w:r>
        <w:rPr/>
        <w:t xml:space="preserve">(d) A proposed implementation schedule and priorities;</w:t>
      </w:r>
    </w:p>
    <w:p>
      <w:pPr>
        <w:spacing w:before="0" w:after="0" w:line="408" w:lineRule="exact"/>
        <w:ind w:left="0" w:right="0" w:firstLine="576"/>
        <w:jc w:val="left"/>
      </w:pPr>
      <w:r>
        <w:rPr/>
        <w:t xml:space="preserve">(e) Provisions to ensure effective training, support, technical, and other assistance to ensure equity and trauma-informed legal assistance targeted to survivors at greatest risk of lethal and other aggravated harms who are unable to afford counsel;</w:t>
      </w:r>
    </w:p>
    <w:p>
      <w:pPr>
        <w:spacing w:before="0" w:after="0" w:line="408" w:lineRule="exact"/>
        <w:ind w:left="0" w:right="0" w:firstLine="576"/>
        <w:jc w:val="left"/>
      </w:pPr>
      <w:r>
        <w:rPr/>
        <w:t xml:space="preserve">(f) Any statutory changes necessary to implement the plan, including a description of how expanded access to counsel interacts with the appointment of counsel under RCW 7.105.240; and</w:t>
      </w:r>
    </w:p>
    <w:p>
      <w:pPr>
        <w:spacing w:before="0" w:after="0" w:line="408" w:lineRule="exact"/>
        <w:ind w:left="0" w:right="0" w:firstLine="576"/>
        <w:jc w:val="left"/>
      </w:pPr>
      <w:r>
        <w:rPr/>
        <w:t xml:space="preserve">(g) Any other information deemed appropriate by the office of civil legal aid.</w:t>
      </w:r>
    </w:p>
    <w:p>
      <w:pPr>
        <w:spacing w:before="0" w:after="0" w:line="408" w:lineRule="exact"/>
        <w:ind w:left="0" w:right="0" w:firstLine="576"/>
        <w:jc w:val="left"/>
      </w:pPr>
      <w:r>
        <w:rPr/>
        <w:t xml:space="preserve">(2) The office of civil legal aid must report the plan to the appropriate legislative committees by September 30, 2024.</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authority of tribes to exercise tribal court civil jurisdiction in domestic violence matters; that tribal courts and tribal programs serve residents of this state; that consistent with tribal sovereignty and the centennial accord, the state of Washington does not have the authority to direct tribal court practices or direct that counsel be appointed in tribal court civil protection proceedings; and that provisions of chapter 7.105 RCW do not apply in tribal courts. Where consistent with tribal justice system rules and practices, and upon agreement with individual tribal courts or justice systems, the state should support the provision of indigenous-informed, culturally appropriate legal support for indigenous survivors of domestic violence in tribal court domestic violence protection proceedings. To this end, and subject to appropriations for this purpose, the office of civil legal aid shall coordinate with the Indian policy advisory council at the department of social and health services and representatives of tribal justice systems to develop a plan and implementation schedule to provide indigenous-informed, culturally appropriate legal support for survivors in tribal court domestic violence protection proceedings. The office of civil legal aid shall submit the plan along with fiscal projections for its implementation to the appropriate legislative committees by December 1, 2024.</w:t>
      </w:r>
    </w:p>
    <w:p>
      <w:pPr>
        <w:spacing w:before="240" w:after="0" w:line="408" w:lineRule="exact"/>
        <w:ind w:left="0" w:right="0" w:firstLine="576"/>
        <w:jc w:val="center"/>
      </w:pPr>
      <w:r>
        <w:rPr>
          <w:b/>
        </w:rPr>
        <w:t xml:space="preserve">Part III.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Because of the potential for error in protection order proceedings and the danger associated with firearm access in domestic violence situations,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 (1) of this section does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w:t>
      </w:r>
      <w:r>
        <w:rPr>
          <w:u w:val="single"/>
        </w:rPr>
        <w:t xml:space="preserve">trauma-informed</w:t>
      </w:r>
      <w:r>
        <w:rPr/>
        <w:t xml:space="preserve"> investigation and interviewing skills, evidence gathering and report writing, assistance to and services for victims and children, </w:t>
      </w:r>
      <w:r>
        <w:rPr>
          <w:u w:val="single"/>
        </w:rPr>
        <w:t xml:space="preserve">domestic violence homicide prevention, the intersection of firearms and domestic violence, best practices for serving and enforcing protection orders, best practices for implementation and enforcement of orders to surrender and prohibit weapons and extreme risk protection orders, the impacts that trauma may have on domestic violence victims,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the intersection of firearms and domestic violence, best practices for serving and enforcing protection orders, and assistance to and services for victims and children.</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once the portal created under section 804 of this act is available, immediate law enforcement entry in a portal created and maintained by the Washington association of sheriffs and police chiefs with the intended purpose to provide timely and accurate information to the statewide automated protected person notification system created under RCW 36.28A.410 when a law enforcement agency returns a privately owned firearm to any respondent identified in a no-contact order, restraining order, or protection order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r>
        <w:rPr>
          <w:u w:val="single"/>
        </w:rPr>
        <w:t xml:space="preserve">;</w:t>
      </w:r>
    </w:p>
    <w:p>
      <w:pPr>
        <w:spacing w:before="0" w:after="0" w:line="408" w:lineRule="exact"/>
        <w:ind w:left="0" w:right="0" w:firstLine="576"/>
        <w:jc w:val="left"/>
      </w:pPr>
      <w:r>
        <w:rPr>
          <w:u w:val="single"/>
        </w:rPr>
        <w:t xml:space="preserve">(e) If a family or household member or intimate partner has requested notification, provide notice to the family or household member or intimate partner who has requested notification within one business day of verifying that the requirements in (a) through (c) of this subsection have been met; and</w:t>
      </w:r>
    </w:p>
    <w:p>
      <w:pPr>
        <w:spacing w:before="0" w:after="0" w:line="408" w:lineRule="exact"/>
        <w:ind w:left="0" w:right="0" w:firstLine="576"/>
        <w:jc w:val="left"/>
      </w:pPr>
      <w:r>
        <w:rPr>
          <w:u w:val="single"/>
        </w:rPr>
        <w:t xml:space="preserve">(f) Once the portal created under section 804 of this act is available, immediately enter in the portal created and maintained by the Washington association of sheriffs and police chiefs with the intended purpose to provide timely and accurate information to the statewide automated protected person notification system created under RCW 36.28A.410, when any respondent identified in a no-contact order, restraining order, or protection order has met the requirements in (a) through (c) of this subsection. Law enforcement must provide the respondent's name, date of birth, protective order number, and date the respondent is eligible to have the respondent's firearms returned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subsections (1)(e) or (f) of this section</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seventy-two hours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party ordered to surrender firearms, dangerous weapons, and </w:t>
      </w:r>
      <w:r>
        <w:t>((</w:t>
      </w:r>
      <w:r>
        <w:rPr>
          <w:strike/>
        </w:rPr>
        <w:t xml:space="preserve">his or her</w:t>
      </w:r>
      <w:r>
        <w:t>))</w:t>
      </w:r>
      <w:r>
        <w:rPr/>
        <w:t xml:space="preserve"> </w:t>
      </w:r>
      <w:r>
        <w:rPr>
          <w:u w:val="single"/>
        </w:rPr>
        <w:t xml:space="preserve">the party's</w:t>
      </w:r>
      <w:r>
        <w:rPr/>
        <w:t xml:space="preserve"> concealed pistol license under RCW 9.41.800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u w:val="single"/>
        </w:rPr>
        <w:t xml:space="preserve">(2) A person ordered to surrender firearms or dangerous weapons under RCW 10.99.100 must file with the clerk of the court a proof of surrender and receipt form or a declaration of nonsurrender form before the defendant is released from any term of confinement, or, if the defendant is not sentenced to a term of confinement, before the conclusion of the hearing regarding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them</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240" w:after="0" w:line="408" w:lineRule="exact"/>
        <w:ind w:left="0" w:right="0" w:firstLine="576"/>
        <w:jc w:val="center"/>
      </w:pPr>
      <w:r>
        <w:rPr>
          <w:b/>
        </w:rPr>
        <w:t xml:space="preserve">Part VII.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administer a grant program for establishing a statewide resource prosecutor for domestic violence cases.</w:t>
      </w:r>
    </w:p>
    <w:p>
      <w:pPr>
        <w:spacing w:before="0" w:after="0" w:line="408" w:lineRule="exact"/>
        <w:ind w:left="0" w:right="0" w:firstLine="576"/>
        <w:jc w:val="left"/>
      </w:pPr>
      <w:r>
        <w:rPr/>
        <w:t xml:space="preserve">(2) The grant recipient must be a statewide organization or association representing prosecuting attorneys. The grant recipient must hire a resource prosecutor for the following purposes:</w:t>
      </w:r>
    </w:p>
    <w:p>
      <w:pPr>
        <w:spacing w:before="0" w:after="0" w:line="408" w:lineRule="exact"/>
        <w:ind w:left="0" w:right="0" w:firstLine="576"/>
        <w:jc w:val="left"/>
      </w:pPr>
      <w:r>
        <w:rPr/>
        <w:t xml:space="preserve">(a) To provide technical assistance and research to prosecutors for prosecuting domestic violence cases;</w:t>
      </w:r>
    </w:p>
    <w:p>
      <w:pPr>
        <w:spacing w:before="0" w:after="0" w:line="408" w:lineRule="exact"/>
        <w:ind w:left="0" w:right="0" w:firstLine="576"/>
        <w:jc w:val="left"/>
      </w:pPr>
      <w:r>
        <w:rPr/>
        <w:t xml:space="preserve">(b) To provide training on implementation and enforcement of orders to surrender and prohibit weapons, extreme risk protection orders, first appearances, case resolution, duties regarding recovery of firearms at the scene of domestic violence incidents, service of orders to surrender weapons and extreme risk protection orders, and firearm rights restoration petitions for domestic violence perpetrators;</w:t>
      </w:r>
    </w:p>
    <w:p>
      <w:pPr>
        <w:spacing w:before="0" w:after="0" w:line="408" w:lineRule="exact"/>
        <w:ind w:left="0" w:right="0" w:firstLine="576"/>
        <w:jc w:val="left"/>
      </w:pPr>
      <w:r>
        <w:rPr/>
        <w:t xml:space="preserve">(c) To provide additional training and resources to prosecutors to support a trauma-informed, victim-centered approach to prosecuting domestic violence cases;</w:t>
      </w:r>
    </w:p>
    <w:p>
      <w:pPr>
        <w:spacing w:before="0" w:after="0" w:line="408" w:lineRule="exact"/>
        <w:ind w:left="0" w:right="0" w:firstLine="576"/>
        <w:jc w:val="left"/>
      </w:pPr>
      <w:r>
        <w:rPr/>
        <w:t xml:space="preserve">(d) To meet regularly with law enforcement agencies and prosecutors to explain legal issues and prosecutorial approaches to domestic violence cases and provide and receive feedback to improve case outcomes;</w:t>
      </w:r>
    </w:p>
    <w:p>
      <w:pPr>
        <w:spacing w:before="0" w:after="0" w:line="408" w:lineRule="exact"/>
        <w:ind w:left="0" w:right="0" w:firstLine="576"/>
        <w:jc w:val="left"/>
      </w:pPr>
      <w:r>
        <w:rPr/>
        <w:t xml:space="preserve">(e) To consult with the commission with respect to developing and implementing best practices for prosecuting domestic violence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240" w:after="0" w:line="408" w:lineRule="exact"/>
        <w:ind w:left="0" w:right="0" w:firstLine="576"/>
        <w:jc w:val="center"/>
      </w:pPr>
      <w:r>
        <w:rPr>
          <w:b/>
        </w:rPr>
        <w:t xml:space="preserve">Part VIII.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must create and maintain an electronic portal for law enforcement to enter when any respondent identified in a no-contact order, restraining order, or protection order has met the requirements in RCW 9.41.345. The portal shall collect the respondent's name, date of birth, protective order number, and date the respondent is eligible to have the respondent's firearms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work with the Washington association of sheriffs and police chiefs to develop and maintain an interface to the statewide automated victim information and notification system created under RCW 36.28A.040 and the statewide automated protected person notification system created under RCW 36.28A.410 to provide notifications per RCW 36.28A.040, 36.28A.410, and 7.105.105. The interface shall provide updated information not less than once per hour, 24 hours per day, seven days per week, without exception.</w:t>
      </w:r>
    </w:p>
    <w:p>
      <w:pPr>
        <w:spacing w:before="240" w:after="0" w:line="408" w:lineRule="exact"/>
        <w:ind w:left="0" w:right="0" w:firstLine="576"/>
        <w:jc w:val="center"/>
      </w:pPr>
      <w:r>
        <w:rPr>
          <w:b/>
        </w:rPr>
        <w:t xml:space="preserve">Part IX.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8d6e32af4c443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68e4941524e67" /><Relationship Type="http://schemas.openxmlformats.org/officeDocument/2006/relationships/footer" Target="/word/footer1.xml" Id="R48d6e32af4c44303" /></Relationships>
</file>