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11d656fdc4936" /></Relationships>
</file>

<file path=word/document.xml><?xml version="1.0" encoding="utf-8"?>
<w:document xmlns:w="http://schemas.openxmlformats.org/wordprocessingml/2006/main">
  <w:body>
    <w:p>
      <w:r>
        <w:t>H-0831.3</w:t>
      </w:r>
    </w:p>
    <w:p>
      <w:pPr>
        <w:jc w:val="center"/>
      </w:pPr>
      <w:r>
        <w:t>_______________________________________________</w:t>
      </w:r>
    </w:p>
    <w:p/>
    <w:p>
      <w:pPr>
        <w:jc w:val="center"/>
      </w:pPr>
      <w:r>
        <w:rPr>
          <w:b/>
        </w:rPr>
        <w:t>HOUSE BILL 1735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Lekanoff, Fitzgibbon, Ramel, Pollet, and Macri</w:t>
      </w:r>
    </w:p>
    <w:p/>
    <w:p>
      <w:r>
        <w:rPr>
          <w:t xml:space="preserve">Read first time 02/02/23.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net ecological gain as a voluntary element of comprehensive plans adopted under the growth management act; amending RCW 36.70A.080, 36.70A.030, and 43.88.090; adding new sections to chapter 36.70A RCW; adding new sections to chapter 77.04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is invested in climate change, carbon reduction, and clean fuel standards, thus reducing carbon emissions and investing in renewable energy. Climate change comes with a large toolbox of responses, from prevention to adaptation and mitigation. While the state is focused on reducing carbon emissions, the state can also invest in restoring habitat to absorb the carbon that exists today and may exist in the future due to unforeseen circumstances. Investment in net ecological gain for local and state infrastructure projects in urban and rural areas enhances the habitat needed to absorb unforeseen carbon and restores a healthy ecosystem for salmon biomes. The state can also recognize that investment in an entire biome is an approach to addressing a biodiversity approach to recovering an entire environment and natural resources up and down river, through watersheds and into land areas. Net ecological gain is a commonsense approach for infrastructure and building projects that simply provides additional habitat to a location and results in an environmentally healthy place for natural resources and humans.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080</w:t>
      </w:r>
      <w:r>
        <w:rPr/>
        <w:t xml:space="preserve"> and 2011 c 318 s 801 are each amended to read as follows:</w:t>
      </w:r>
    </w:p>
    <w:p>
      <w:pPr>
        <w:spacing w:before="0" w:after="0" w:line="408" w:lineRule="exact"/>
        <w:ind w:left="0" w:right="0" w:firstLine="576"/>
        <w:jc w:val="left"/>
      </w:pPr>
      <w:r>
        <w:rPr/>
        <w:t xml:space="preserve">(1) A comprehensive plan may include additional elements, items, or studies dealing with other subjects relating to the physical development within its jurisdiction, including, but not limited to:</w:t>
      </w:r>
    </w:p>
    <w:p>
      <w:pPr>
        <w:spacing w:before="0" w:after="0" w:line="408" w:lineRule="exact"/>
        <w:ind w:left="0" w:right="0" w:firstLine="576"/>
        <w:jc w:val="left"/>
      </w:pPr>
      <w:r>
        <w:rPr/>
        <w:t xml:space="preserve">(a) Conservation;</w:t>
      </w:r>
    </w:p>
    <w:p>
      <w:pPr>
        <w:spacing w:before="0" w:after="0" w:line="408" w:lineRule="exact"/>
        <w:ind w:left="0" w:right="0" w:firstLine="576"/>
        <w:jc w:val="left"/>
      </w:pPr>
      <w:r>
        <w:rPr/>
        <w:t xml:space="preserve">(b) Solar energy; </w:t>
      </w:r>
      <w:r>
        <w:t>((</w:t>
      </w:r>
      <w:r>
        <w:rPr>
          <w:strike/>
        </w:rPr>
        <w:t xml:space="preserve">and</w:t>
      </w:r>
      <w:r>
        <w:t>))</w:t>
      </w:r>
    </w:p>
    <w:p>
      <w:pPr>
        <w:spacing w:before="0" w:after="0" w:line="408" w:lineRule="exact"/>
        <w:ind w:left="0" w:right="0" w:firstLine="576"/>
        <w:jc w:val="left"/>
      </w:pPr>
      <w:r>
        <w:rPr/>
        <w:t xml:space="preserve">(c) Recreation</w:t>
      </w:r>
      <w:r>
        <w:rPr>
          <w:u w:val="single"/>
        </w:rPr>
        <w:t xml:space="preserve">; and</w:t>
      </w:r>
    </w:p>
    <w:p>
      <w:pPr>
        <w:spacing w:before="0" w:after="0" w:line="408" w:lineRule="exact"/>
        <w:ind w:left="0" w:right="0" w:firstLine="576"/>
        <w:jc w:val="left"/>
      </w:pPr>
      <w:r>
        <w:rPr>
          <w:u w:val="single"/>
        </w:rPr>
        <w:t xml:space="preserve">(d) Net ecological gain</w:t>
      </w:r>
      <w:r>
        <w:rPr/>
        <w:t xml:space="preserve">.</w:t>
      </w:r>
    </w:p>
    <w:p>
      <w:pPr>
        <w:spacing w:before="0" w:after="0" w:line="408" w:lineRule="exact"/>
        <w:ind w:left="0" w:right="0" w:firstLine="576"/>
        <w:jc w:val="left"/>
      </w:pPr>
      <w:r>
        <w:rPr/>
        <w:t xml:space="preserve">(2) A comprehensive plan may include, where appropriate, subarea plans, each of which is consistent with the comprehensive plan.</w:t>
      </w:r>
    </w:p>
    <w:p>
      <w:pPr>
        <w:spacing w:before="0" w:after="0" w:line="408" w:lineRule="exact"/>
        <w:ind w:left="0" w:right="0" w:firstLine="576"/>
        <w:jc w:val="left"/>
      </w:pPr>
      <w:r>
        <w:rPr/>
        <w:t xml:space="preserve">(3)(a) Cities that qualify as a receiving city may adopt a comprehensive plan element and associated development regulations that apply within receiving areas under chapter 39.108 RCW.</w:t>
      </w:r>
    </w:p>
    <w:p>
      <w:pPr>
        <w:spacing w:before="0" w:after="0" w:line="408" w:lineRule="exact"/>
        <w:ind w:left="0" w:right="0" w:firstLine="576"/>
        <w:jc w:val="left"/>
      </w:pPr>
      <w:r>
        <w:rPr/>
        <w:t xml:space="preserve">(b) For purposes of this subsection, the terms "receiving city" and "receiving area" have the same meanings as provided in RCW 39.108.010.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w:t>
      </w:r>
      <w:r>
        <w:t>((</w:t>
      </w:r>
      <w:r>
        <w:rPr>
          <w:strike/>
        </w:rPr>
        <w:t xml:space="preserve">thirty</w:t>
      </w:r>
      <w:r>
        <w:t>))</w:t>
      </w:r>
      <w:r>
        <w:rPr/>
        <w:t xml:space="preserve"> </w:t>
      </w:r>
      <w:r>
        <w:rPr>
          <w:u w:val="single"/>
        </w:rPr>
        <w:t xml:space="preserve">30</w:t>
      </w:r>
      <w:r>
        <w:rPr/>
        <w:t xml:space="preserve">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w:t>
      </w:r>
      <w:r>
        <w:rPr>
          <w:u w:val="single"/>
        </w:rPr>
        <w:t xml:space="preserve">"Net ecological gain" means improvement over current conditions in ecological functions and values that support biodiversity and resiliency of native plant, animal, and fungi species; water quality and quantity; air quality and food security for all species. Improvement is at a cumulative scale that can be incrementally implemented through site-specific actions, with any short-term loss of those functions and values being more than offset by overall ecological gains.</w:t>
      </w:r>
    </w:p>
    <w:p>
      <w:pPr>
        <w:spacing w:before="0" w:after="0" w:line="408" w:lineRule="exact"/>
        <w:ind w:left="0" w:right="0" w:firstLine="576"/>
        <w:jc w:val="left"/>
      </w:pPr>
      <w:r>
        <w:rPr>
          <w:u w:val="single"/>
        </w:rPr>
        <w:t xml:space="preserve">(20)</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of fish and wildlife, with recommendations from the oversight body established in section 5 of this act, shall adopt rules that establish criteria for net ecological gain and consistency with the applicable regional salmon recovery plans that counties and cities that choose to adopt a voluntary net ecological gain element in their comprehensive plans must meet through adoption of their comprehensive plans in order to support salmon recovery. In adopting rules pursuant to this section, the department of fish and wildlife must consult on an early and continuous basis with each federally recognized Indian tribe with property, tribal reservation land, or usual and accustomed fishing areas in, adjacent to, or directly affected by the planning jurisdiction. The department must also communicate with governments planning under RCW 36.70A.040 during the process of adopting rules pursuant to this section.</w:t>
      </w:r>
    </w:p>
    <w:p>
      <w:pPr>
        <w:spacing w:before="0" w:after="0" w:line="408" w:lineRule="exact"/>
        <w:ind w:left="0" w:right="0" w:firstLine="576"/>
        <w:jc w:val="left"/>
      </w:pPr>
      <w:r>
        <w:rPr/>
        <w:t xml:space="preserve">(2) The rules adopted under this section must address the applicable components of salmon recovery plans that local governments have authority over, such as the habitat restoration and protection elements of the recovery plans.</w:t>
      </w:r>
    </w:p>
    <w:p>
      <w:pPr>
        <w:spacing w:before="0" w:after="0" w:line="408" w:lineRule="exact"/>
        <w:ind w:left="0" w:right="0" w:firstLine="576"/>
        <w:jc w:val="left"/>
      </w:pPr>
      <w:r>
        <w:rPr/>
        <w:t xml:space="preserve">(3) The rules adopted under this section must ensure that, where appropriate, the interjurisdictional coordination process required by RCW 36.70A.100 addresses the issue of salmon recovery.</w:t>
      </w:r>
    </w:p>
    <w:p>
      <w:pPr>
        <w:spacing w:before="0" w:after="0" w:line="408" w:lineRule="exact"/>
        <w:ind w:left="0" w:right="0" w:firstLine="576"/>
        <w:jc w:val="left"/>
      </w:pPr>
      <w:r>
        <w:rPr/>
        <w:t xml:space="preserve">(4) The rules adopted under this section must not require or assume that the proponents of individual private projects will be responsible for achieving net ecological gain. Rules adopted under this section must ensure that individual private projects achieve no net loss of ecological function. Rules adopted under this section must ensure that net ecological gain is advanced through the appropriate selection of publicly funded projects, and voluntary projects whose purpose is salmon recovery but which may receive funding from either public or private sources. Rules adopted under this section related to net ecological gain must account for the impact of the urban heat island effect on ecological function.</w:t>
      </w:r>
    </w:p>
    <w:p>
      <w:pPr>
        <w:spacing w:before="0" w:after="0" w:line="408" w:lineRule="exact"/>
        <w:ind w:left="0" w:right="0" w:firstLine="576"/>
        <w:jc w:val="left"/>
      </w:pPr>
      <w:r>
        <w:rPr/>
        <w:t xml:space="preserve">(5) The department of fish and wildlife shall monitor progress towards the goals set forth in the regional salmon recovery plans, including parameters that affect salmonid health including, but not limited to, stream temperature, impervious surfaces, and tree canopy cover. As part of its monitoring, and as appropriate, the department of fish and wildlife shall obtain monitoring data from relevant and reliable sources including, but not limited to, local governments, state agencies, federal agencies, and Indian tribes. In addition, the department of fish and wildlife shall also monitor and report the progress that each jurisdiction planning under RCW 36.70A.040 has made toward achieving no net loss of ecological function, and the progress that each jurisdiction that chooses to include a voluntary net ecological gain element in its comprehensive plan has made toward achieving net ecological gain. As part of this ongoing monitoring effort, the department of fish and wildlife, in early and continuous consultation with each federally recognized Indian tribe with property, tribal reservation land, or usual and accustomed fishing areas in, adjacent to, or directly affected by the planning jurisdiction, and in communication with the affected local governments, shall first establish the current environmental baseline conditions within each county and city planning under RCW 36.70A.040, identify any monitoring data gaps and make recommendations to fill those gaps, and monitor the degree to which each jurisdiction that chooses to include a voluntary net ecological gain element in its comprehensive plan is successful at achieving net ecological gains and no net losses through individual projects, over time, including, where appropriate, the efforts made by jurisdictions to address the effect of urban heat islands on salmonid health. The department of fish and wildlife is encouraged to work with or seek feedback from local watershed groups in review of the current environmental baseline conditions and monitoring efforts.</w:t>
      </w:r>
    </w:p>
    <w:p>
      <w:pPr>
        <w:spacing w:before="0" w:after="0" w:line="408" w:lineRule="exact"/>
        <w:ind w:left="0" w:right="0" w:firstLine="576"/>
        <w:jc w:val="left"/>
      </w:pPr>
      <w:r>
        <w:rPr/>
        <w:t xml:space="preserve">(6) The department of fish and wildlife shall facilitate an ongoing and collaborative process for the purpose of identifying gaps and targets related to salmon habitat and funding, to be informed by its monitoring work pursuant to this section.</w:t>
      </w:r>
    </w:p>
    <w:p>
      <w:pPr>
        <w:spacing w:before="0" w:after="0" w:line="408" w:lineRule="exact"/>
        <w:ind w:left="0" w:right="0" w:firstLine="576"/>
        <w:jc w:val="left"/>
      </w:pPr>
      <w:r>
        <w:rPr/>
        <w:t xml:space="preserve">(7) The department of fish and wildlife shall provide a report of its monitoring under this section to the governor, the appropriate committees of the legislature, and the local governments subject to this act no later than October 15th of every even-numbered year, beginning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joint oversight body on net ecological gain is established for the purpose of identifying criteria for, and a system for implementing, net ecological gain on public projects.</w:t>
      </w:r>
    </w:p>
    <w:p>
      <w:pPr>
        <w:spacing w:before="0" w:after="0" w:line="408" w:lineRule="exact"/>
        <w:ind w:left="0" w:right="0" w:firstLine="576"/>
        <w:jc w:val="left"/>
      </w:pPr>
      <w:r>
        <w:rPr/>
        <w:t xml:space="preserve">(2) The oversight body must comply with the consultation requirements set forth in chapter 43.376 RCW.</w:t>
      </w:r>
    </w:p>
    <w:p>
      <w:pPr>
        <w:spacing w:before="0" w:after="0" w:line="408" w:lineRule="exact"/>
        <w:ind w:left="0" w:right="0" w:firstLine="576"/>
        <w:jc w:val="left"/>
      </w:pPr>
      <w:r>
        <w:rPr/>
        <w:t xml:space="preserve">(3) The oversight body consists of the following members:</w:t>
      </w:r>
    </w:p>
    <w:p>
      <w:pPr>
        <w:spacing w:before="0" w:after="0" w:line="408" w:lineRule="exact"/>
        <w:ind w:left="0" w:right="0" w:firstLine="576"/>
        <w:jc w:val="left"/>
      </w:pPr>
      <w:r>
        <w:rPr/>
        <w:t xml:space="preserve">(a) The director of the department of ecology, or the director's designee;</w:t>
      </w:r>
    </w:p>
    <w:p>
      <w:pPr>
        <w:spacing w:before="0" w:after="0" w:line="408" w:lineRule="exact"/>
        <w:ind w:left="0" w:right="0" w:firstLine="576"/>
        <w:jc w:val="left"/>
      </w:pPr>
      <w:r>
        <w:rPr/>
        <w:t xml:space="preserve">(b) The governor's senior policy advisor on natural resources;</w:t>
      </w:r>
    </w:p>
    <w:p>
      <w:pPr>
        <w:spacing w:before="0" w:after="0" w:line="408" w:lineRule="exact"/>
        <w:ind w:left="0" w:right="0" w:firstLine="576"/>
        <w:jc w:val="left"/>
      </w:pPr>
      <w:r>
        <w:rPr/>
        <w:t xml:space="preserve">(c) The director of the department of agriculture, or the director's designee;</w:t>
      </w:r>
    </w:p>
    <w:p>
      <w:pPr>
        <w:spacing w:before="0" w:after="0" w:line="408" w:lineRule="exact"/>
        <w:ind w:left="0" w:right="0" w:firstLine="576"/>
        <w:jc w:val="left"/>
      </w:pPr>
      <w:r>
        <w:rPr/>
        <w:t xml:space="preserve">(d) The director of the department of fish and wildlife, or the director's designee;</w:t>
      </w:r>
    </w:p>
    <w:p>
      <w:pPr>
        <w:spacing w:before="0" w:after="0" w:line="408" w:lineRule="exact"/>
        <w:ind w:left="0" w:right="0" w:firstLine="576"/>
        <w:jc w:val="left"/>
      </w:pPr>
      <w:r>
        <w:rPr/>
        <w:t xml:space="preserve">(e) The executive director of the state conservation commission, or the executive director's designee;</w:t>
      </w:r>
    </w:p>
    <w:p>
      <w:pPr>
        <w:spacing w:before="0" w:after="0" w:line="408" w:lineRule="exact"/>
        <w:ind w:left="0" w:right="0" w:firstLine="576"/>
        <w:jc w:val="left"/>
      </w:pPr>
      <w:r>
        <w:rPr/>
        <w:t xml:space="preserve">(f) The commissioner of public lands, or the commissioner's designee;</w:t>
      </w:r>
    </w:p>
    <w:p>
      <w:pPr>
        <w:spacing w:before="0" w:after="0" w:line="408" w:lineRule="exact"/>
        <w:ind w:left="0" w:right="0" w:firstLine="576"/>
        <w:jc w:val="left"/>
      </w:pPr>
      <w:r>
        <w:rPr/>
        <w:t xml:space="preserve">(g) The secretary of the department of transportation, or the secretary's designee;</w:t>
      </w:r>
    </w:p>
    <w:p>
      <w:pPr>
        <w:spacing w:before="0" w:after="0" w:line="408" w:lineRule="exact"/>
        <w:ind w:left="0" w:right="0" w:firstLine="576"/>
        <w:jc w:val="left"/>
      </w:pPr>
      <w:r>
        <w:rPr/>
        <w:t xml:space="preserve">(h) The executive director of the Puget Sound partnership, or the executive director's designee; and</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(4) There are two cochairs of the oversight body. One cochair of the oversight body must be the governor's senior policy adviser on natural resources.</w:t>
      </w:r>
    </w:p>
    <w:p>
      <w:pPr>
        <w:spacing w:before="0" w:after="0" w:line="408" w:lineRule="exact"/>
        <w:ind w:left="0" w:right="0" w:firstLine="576"/>
        <w:jc w:val="left"/>
      </w:pPr>
      <w:r>
        <w:rPr/>
        <w:t xml:space="preserve">(5) The oversight body must, by a majority of the members, adopt rules to govern its conduct as may be necessary or appropriate, including reasonable procedures for calling and conducting meetings of the oversight body, ensuring reasonable advance notice of each meeting, and providing for the right of the public to attend each meeting.</w:t>
      </w:r>
    </w:p>
    <w:p>
      <w:pPr>
        <w:spacing w:before="0" w:after="0" w:line="408" w:lineRule="exact"/>
        <w:ind w:left="0" w:right="0" w:firstLine="576"/>
        <w:jc w:val="left"/>
      </w:pPr>
      <w:r>
        <w:rPr/>
        <w:t xml:space="preserve">(6) The oversight body shall convene from time to time at the call of one or both of the cochairs or upon the request of three or more members of the oversight body. The oversight body must meet at least three times each calendar year and the oversight body is encouraged to hold at least one of its meetings each year at a location outside of Olympia. Any meeting of the oversight body must include an opportunity for public comment.</w:t>
      </w:r>
    </w:p>
    <w:p>
      <w:pPr>
        <w:spacing w:before="0" w:after="0" w:line="408" w:lineRule="exact"/>
        <w:ind w:left="0" w:right="0" w:firstLine="576"/>
        <w:jc w:val="left"/>
      </w:pPr>
      <w:r>
        <w:rPr/>
        <w:t xml:space="preserve">(7) The oversight body is responsible for:</w:t>
      </w:r>
    </w:p>
    <w:p>
      <w:pPr>
        <w:spacing w:before="0" w:after="0" w:line="408" w:lineRule="exact"/>
        <w:ind w:left="0" w:right="0" w:firstLine="576"/>
        <w:jc w:val="left"/>
      </w:pPr>
      <w:r>
        <w:rPr/>
        <w:t xml:space="preserve">(a) Determining what actions, projects, and activities count toward the achievement of net ecological gain;</w:t>
      </w:r>
    </w:p>
    <w:p>
      <w:pPr>
        <w:spacing w:before="0" w:after="0" w:line="408" w:lineRule="exact"/>
        <w:ind w:left="0" w:right="0" w:firstLine="576"/>
        <w:jc w:val="left"/>
      </w:pPr>
      <w:r>
        <w:rPr/>
        <w:t xml:space="preserve">(b) Determining the appropriate number of net ecological gain credits to be attributed to individual actions, projects, and activities;</w:t>
      </w:r>
    </w:p>
    <w:p>
      <w:pPr>
        <w:spacing w:before="0" w:after="0" w:line="408" w:lineRule="exact"/>
        <w:ind w:left="0" w:right="0" w:firstLine="576"/>
        <w:jc w:val="left"/>
      </w:pPr>
      <w:r>
        <w:rPr/>
        <w:t xml:space="preserve">(c) Developing a system that guides project proponents' development of the net ecological gain components of their projects;</w:t>
      </w:r>
    </w:p>
    <w:p>
      <w:pPr>
        <w:spacing w:before="0" w:after="0" w:line="408" w:lineRule="exact"/>
        <w:ind w:left="0" w:right="0" w:firstLine="576"/>
        <w:jc w:val="left"/>
      </w:pPr>
      <w:r>
        <w:rPr/>
        <w:t xml:space="preserve">(d) Developing a tracking system for net ecological gain at the appropriate scale;</w:t>
      </w:r>
    </w:p>
    <w:p>
      <w:pPr>
        <w:spacing w:before="0" w:after="0" w:line="408" w:lineRule="exact"/>
        <w:ind w:left="0" w:right="0" w:firstLine="576"/>
        <w:jc w:val="left"/>
      </w:pPr>
      <w:r>
        <w:rPr/>
        <w:t xml:space="preserve">(e) Recommending methods to appropriately track or account for voluntary incentive program contributions to net ecological gain from private landowners;</w:t>
      </w:r>
    </w:p>
    <w:p>
      <w:pPr>
        <w:spacing w:before="0" w:after="0" w:line="408" w:lineRule="exact"/>
        <w:ind w:left="0" w:right="0" w:firstLine="576"/>
        <w:jc w:val="left"/>
      </w:pPr>
      <w:r>
        <w:rPr/>
        <w:t xml:space="preserve">(f) Identifying, using the appropriate criteria and ecosystem functions, the current ecosystems baseline;</w:t>
      </w:r>
    </w:p>
    <w:p>
      <w:pPr>
        <w:spacing w:before="0" w:after="0" w:line="408" w:lineRule="exact"/>
        <w:ind w:left="0" w:right="0" w:firstLine="576"/>
        <w:jc w:val="left"/>
      </w:pPr>
      <w:r>
        <w:rPr/>
        <w:t xml:space="preserve">(g) Recommending ecological targets and goals that will serve as appropriate benchmarks of success; and</w:t>
      </w:r>
    </w:p>
    <w:p>
      <w:pPr>
        <w:spacing w:before="0" w:after="0" w:line="408" w:lineRule="exact"/>
        <w:ind w:left="0" w:right="0" w:firstLine="576"/>
        <w:jc w:val="left"/>
      </w:pPr>
      <w:r>
        <w:rPr/>
        <w:t xml:space="preserve">(h) Suggesting to the legislature key ecological milestones that should be tracked and reported.</w:t>
      </w:r>
    </w:p>
    <w:p>
      <w:pPr>
        <w:spacing w:before="0" w:after="0" w:line="408" w:lineRule="exact"/>
        <w:ind w:left="0" w:right="0" w:firstLine="576"/>
        <w:jc w:val="left"/>
      </w:pPr>
      <w:r>
        <w:rPr/>
        <w:t xml:space="preserve">(8) The expenses of the operations of the oversight body, including the expenses associated with the oversight body's meetings, must be paid by the department of fish and wildlife, except that the costs of attendance at oversight body meetings incurred by oversight body members, including representatives of other departments, must be borne by the individual department.</w:t>
      </w:r>
    </w:p>
    <w:p>
      <w:pPr>
        <w:spacing w:before="0" w:after="0" w:line="408" w:lineRule="exact"/>
        <w:ind w:left="0" w:right="0" w:firstLine="576"/>
        <w:jc w:val="left"/>
      </w:pPr>
      <w:r>
        <w:rPr/>
        <w:t xml:space="preserve">(9) A work group is created within the oversight body for the purpose of providing engagement on matters and tasks as directed by the cochairs of the oversight body. The cochairs of the oversight body must appoint members of the oversight body to serve in the work group.</w:t>
      </w:r>
    </w:p>
    <w:p>
      <w:pPr>
        <w:spacing w:before="0" w:after="0" w:line="408" w:lineRule="exact"/>
        <w:ind w:left="0" w:right="0" w:firstLine="576"/>
        <w:jc w:val="left"/>
      </w:pPr>
      <w:r>
        <w:rPr/>
        <w:t xml:space="preserve">(10) Staff support for the oversight body must be provided by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county or city that plans to include within its comprehensive plan a net ecological gain element that complies with the net ecological gain rules adopted by the department of fish and wildlife pursuant to section 4 of this act is eligible to apply to the department for planning grant assistance of up to $100,000, subject to the availability of funds appropriated for that purpose. The department shall develop grant criteria in cooperation with the department of fish and wildlife to ensure that grant funds awarded are proportionate to the level of effort proposed by a county or city toward the achievement of net ecological gain. Funding may be provided in advance of, and to support, adoption of policies or ordinances consistent with this section. A county or city may request, and the department may award, more than $100,000 for applications that demonstrate extraordinary potential to increase net ecological gain within the county or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3rd sp.s. c 1 s 409 are each amended to read as follows:</w:t>
      </w:r>
    </w:p>
    <w:p>
      <w:pPr>
        <w:spacing w:before="0" w:after="0" w:line="408" w:lineRule="exact"/>
        <w:ind w:left="0" w:right="0" w:firstLine="576"/>
        <w:jc w:val="left"/>
      </w:pPr>
      <w:r>
        <w:rPr/>
        <w:t xml:space="preserve">(1)</w:t>
      </w:r>
      <w:r>
        <w:rPr>
          <w:u w:val="single"/>
        </w:rPr>
        <w:t xml:space="preserve">(a)(i)</w:t>
      </w:r>
      <w:r>
        <w:rPr/>
        <w:t xml:space="preserve">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w:t>
      </w:r>
    </w:p>
    <w:p>
      <w:pPr>
        <w:spacing w:before="0" w:after="0" w:line="408" w:lineRule="exact"/>
        <w:ind w:left="0" w:right="0" w:firstLine="576"/>
        <w:jc w:val="left"/>
      </w:pPr>
      <w:r>
        <w:rPr>
          <w:u w:val="single"/>
        </w:rPr>
        <w:t xml:space="preserve">(ii) As part of the budget development for the department of fish and wildlife, the governor must require the director of the department of fish and wildlife to provide an estimated amount equal to 10 percent of any revenues to the general fund accruing in amounts exceeding 2022 revenues, and at least 10 percent of any budget surpluses identified by the economic and revenue forecast council created under RCW 82.33.010, to be committed to fulfilling the responsibilities of sections 4, 5, and 8 of this act.</w:t>
      </w:r>
    </w:p>
    <w:p>
      <w:pPr>
        <w:spacing w:before="0" w:after="0" w:line="408" w:lineRule="exact"/>
        <w:ind w:left="0" w:right="0" w:firstLine="576"/>
        <w:jc w:val="left"/>
      </w:pPr>
      <w:r>
        <w:rPr>
          <w:u w:val="single"/>
        </w:rPr>
        <w:t xml:space="preserve">(b) The following must be transmitted to the governor and must be included in the budget without revision:</w:t>
      </w:r>
      <w:r>
        <w:rPr/>
        <w:t xml:space="preserve"> The estimates for the legislature and the judiciary </w:t>
      </w:r>
      <w:r>
        <w:t>((</w:t>
      </w:r>
      <w:r>
        <w:rPr>
          <w:strike/>
        </w:rPr>
        <w:t xml:space="preserve">shall be transmitted to the governor and shall be included in the budget without revision.</w:t>
      </w:r>
      <w:r>
        <w:t>))</w:t>
      </w:r>
      <w:r>
        <w:rPr/>
        <w:t xml:space="preserve"> </w:t>
      </w:r>
      <w:r>
        <w:rPr>
          <w:u w:val="single"/>
        </w:rPr>
        <w:t xml:space="preserve">and the estimates provided by the department of fish and wildlife under (a) of this subsection for fulfilling the responsibilities of sections 4, 5, and 8 of this act.</w:t>
      </w:r>
    </w:p>
    <w:p>
      <w:pPr>
        <w:spacing w:before="0" w:after="0" w:line="408" w:lineRule="exact"/>
        <w:ind w:left="0" w:right="0" w:firstLine="576"/>
        <w:jc w:val="left"/>
      </w:pPr>
      <w:r>
        <w:rPr>
          <w:u w:val="single"/>
        </w:rPr>
        <w:t xml:space="preserve">(c)(i)</w:t>
      </w:r>
      <w:r>
        <w:rPr/>
        <w:t xml:space="preserve">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u w:val="single"/>
        </w:rPr>
        <w:t xml:space="preserve">(ii)</w:t>
      </w:r>
      <w:r>
        <w:rPr/>
        <w:t xml:space="preserve"> 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technology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consolidated technology services agency shall review major information technology systems in use by state agencies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in collaboration with the joint oversight body on net ecological gain established in section 5 of this act, must conduct a study of current conservation programs including, but not limited to:</w:t>
      </w:r>
    </w:p>
    <w:p>
      <w:pPr>
        <w:spacing w:before="0" w:after="0" w:line="408" w:lineRule="exact"/>
        <w:ind w:left="0" w:right="0" w:firstLine="576"/>
        <w:jc w:val="left"/>
      </w:pPr>
      <w:r>
        <w:rPr/>
        <w:t xml:space="preserve">(a) Fish passage barrier removal;</w:t>
      </w:r>
    </w:p>
    <w:p>
      <w:pPr>
        <w:spacing w:before="0" w:after="0" w:line="408" w:lineRule="exact"/>
        <w:ind w:left="0" w:right="0" w:firstLine="576"/>
        <w:jc w:val="left"/>
      </w:pPr>
      <w:r>
        <w:rPr/>
        <w:t xml:space="preserve">(b) Salmon recovery funding;</w:t>
      </w:r>
    </w:p>
    <w:p>
      <w:pPr>
        <w:spacing w:before="0" w:after="0" w:line="408" w:lineRule="exact"/>
        <w:ind w:left="0" w:right="0" w:firstLine="576"/>
        <w:jc w:val="left"/>
      </w:pPr>
      <w:r>
        <w:rPr/>
        <w:t xml:space="preserve">(c) Stormwater financial assistance; and</w:t>
      </w:r>
    </w:p>
    <w:p>
      <w:pPr>
        <w:spacing w:before="0" w:after="0" w:line="408" w:lineRule="exact"/>
        <w:ind w:left="0" w:right="0" w:firstLine="576"/>
        <w:jc w:val="left"/>
      </w:pPr>
      <w:r>
        <w:rPr/>
        <w:t xml:space="preserve">(d) Model toxics control act capital grants.</w:t>
      </w:r>
    </w:p>
    <w:p>
      <w:pPr>
        <w:spacing w:before="0" w:after="0" w:line="408" w:lineRule="exact"/>
        <w:ind w:left="0" w:right="0" w:firstLine="576"/>
        <w:jc w:val="left"/>
      </w:pPr>
      <w:r>
        <w:rPr/>
        <w:t xml:space="preserve">(2) In the study, the department, in collaboration with the joint oversight body on net ecological gain, must assess the degree to which each conservation program achieves a net improvement in ecological conditions.</w:t>
      </w:r>
    </w:p>
    <w:p>
      <w:pPr>
        <w:spacing w:before="0" w:after="0" w:line="408" w:lineRule="exact"/>
        <w:ind w:left="0" w:right="0" w:firstLine="576"/>
        <w:jc w:val="left"/>
      </w:pPr>
      <w:r>
        <w:rPr/>
        <w:t xml:space="preserve">(3) The department must submit its report to the appropriate committees of the legislature no later than June 30, 2024.</w:t>
      </w:r>
    </w:p>
    <w:p/>
    <w:p>
      <w:pPr>
        <w:jc w:val="center"/>
      </w:pPr>
      <w:r>
        <w:rPr>
          <w:b/>
        </w:rPr>
        <w:t>--- END ---</w:t>
      </w:r>
    </w:p>
    <w:sectPr>
      <w:pgNumType w:start="1"/>
      <w:footerReference xmlns:r="http://schemas.openxmlformats.org/officeDocument/2006/relationships" r:id="R094841b84a6f48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07dff60004b77" /><Relationship Type="http://schemas.openxmlformats.org/officeDocument/2006/relationships/footer" Target="/word/footer1.xml" Id="R094841b84a6f4818" /></Relationships>
</file>