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d650ee1d5f4a50" /></Relationships>
</file>

<file path=word/document.xml><?xml version="1.0" encoding="utf-8"?>
<w:document xmlns:w="http://schemas.openxmlformats.org/wordprocessingml/2006/main">
  <w:body>
    <w:p>
      <w:r>
        <w:t>H-1017.1</w:t>
      </w:r>
    </w:p>
    <w:p>
      <w:pPr>
        <w:jc w:val="center"/>
      </w:pPr>
      <w:r>
        <w:t>_______________________________________________</w:t>
      </w:r>
    </w:p>
    <w:p/>
    <w:p>
      <w:pPr>
        <w:jc w:val="center"/>
      </w:pPr>
      <w:r>
        <w:rPr>
          <w:b/>
        </w:rPr>
        <w:t>HOUSE BILL 1765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Steele, Chapman, and Volz</w:t>
      </w:r>
    </w:p>
    <w:p/>
    <w:p>
      <w:r>
        <w:rPr>
          <w:t xml:space="preserve">Read first time 02/06/23.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occasion liquor licenses for not-for-profit societies or organizations; and amending RCW 66.24.010 and 66.24.380.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2019 c 370 s 1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w:t>
      </w:r>
      <w:r>
        <w:t>((</w:t>
      </w:r>
      <w:r>
        <w:rPr>
          <w:strike/>
        </w:rPr>
        <w:t xml:space="preserve">thirty</w:t>
      </w:r>
      <w:r>
        <w:t>))</w:t>
      </w:r>
      <w:r>
        <w:rPr/>
        <w:t xml:space="preserve"> </w:t>
      </w:r>
      <w:r>
        <w:rPr>
          <w:u w:val="single"/>
        </w:rPr>
        <w:t xml:space="preserve">30</w:t>
      </w:r>
      <w:r>
        <w:rPr/>
        <w:t xml:space="preserve">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For the original issuance of a liquor license, including the approval of a conditional license as provided in (b) of this subsection, the board must set the expiration date of the license to the last day of the calendar month that is </w:t>
      </w:r>
      <w:r>
        <w:t>((</w:t>
      </w:r>
      <w:r>
        <w:rPr>
          <w:strike/>
        </w:rPr>
        <w:t xml:space="preserve">twelve</w:t>
      </w:r>
      <w:r>
        <w:t>))</w:t>
      </w:r>
      <w:r>
        <w:rPr/>
        <w:t xml:space="preserve"> </w:t>
      </w:r>
      <w:r>
        <w:rPr>
          <w:u w:val="single"/>
        </w:rPr>
        <w:t xml:space="preserve">12</w:t>
      </w:r>
      <w:r>
        <w:rPr/>
        <w:t xml:space="preserve"> months from the calendar month in which final approval of the license is granted. Upon renewal, the expiration date of the license, including licenses approved under (b) of this subsection, may subsequently be prorated as necessary in accordance with chapter 19.02 RCW.</w:t>
      </w:r>
    </w:p>
    <w:p>
      <w:pPr>
        <w:spacing w:before="0" w:after="0" w:line="408" w:lineRule="exact"/>
        <w:ind w:left="0" w:right="0" w:firstLine="576"/>
        <w:jc w:val="left"/>
      </w:pPr>
      <w:r>
        <w:rPr/>
        <w:t xml:space="preserve">(b)(i) When an applicant for a liquor license is qualified for approval of the license in every way except having executed a lease or purchase agreement for the proposed licensed premises, the board must grant conditional approval to the applicant.</w:t>
      </w:r>
    </w:p>
    <w:p>
      <w:pPr>
        <w:spacing w:before="0" w:after="0" w:line="408" w:lineRule="exact"/>
        <w:ind w:left="0" w:right="0" w:firstLine="576"/>
        <w:jc w:val="left"/>
      </w:pPr>
      <w:r>
        <w:rPr/>
        <w:t xml:space="preserve">(ii) Upon notification to the board of execution of the lease or purchase agreement putting the applicant in control of the premises, the board must immediately grant final approval of the license issuance, and the licensee may immediately begin exercising all privileges provided under the license, except as otherwise provided under this title.</w:t>
      </w:r>
    </w:p>
    <w:p>
      <w:pPr>
        <w:spacing w:before="0" w:after="0" w:line="408" w:lineRule="exact"/>
        <w:ind w:left="0" w:right="0" w:firstLine="576"/>
        <w:jc w:val="left"/>
      </w:pPr>
      <w:r>
        <w:rPr/>
        <w:t xml:space="preserve">(iii) For the purposes of this title, the term "license" includes "conditional license."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w:t>
      </w:r>
      <w:r>
        <w:t>((</w:t>
      </w:r>
      <w:r>
        <w:rPr>
          <w:strike/>
        </w:rPr>
        <w:t xml:space="preserve">during</w:t>
      </w:r>
      <w:r>
        <w:t>))</w:t>
      </w:r>
      <w:r>
        <w:rPr>
          <w:u w:val="single"/>
        </w:rPr>
        <w:t xml:space="preserve">:</w:t>
      </w:r>
    </w:p>
    <w:p>
      <w:pPr>
        <w:spacing w:before="0" w:after="0" w:line="408" w:lineRule="exact"/>
        <w:ind w:left="0" w:right="0" w:firstLine="576"/>
        <w:jc w:val="left"/>
      </w:pPr>
      <w:r>
        <w:rPr>
          <w:u w:val="single"/>
        </w:rPr>
        <w:t xml:space="preserve">(i) By an enhanced special occasion licensee under RCW 66.24.380, the board is not required to provide notice of the application to the incorporated city or town or the county where the proposed event would take place; or</w:t>
      </w:r>
    </w:p>
    <w:p>
      <w:pPr>
        <w:spacing w:before="0" w:after="0" w:line="408" w:lineRule="exact"/>
        <w:ind w:left="0" w:right="0" w:firstLine="576"/>
        <w:jc w:val="left"/>
      </w:pPr>
      <w:r>
        <w:rPr>
          <w:u w:val="single"/>
        </w:rPr>
        <w:t xml:space="preserve">(ii) During</w:t>
      </w:r>
      <w:r>
        <w:rPr/>
        <w:t xml:space="preserve">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for an enhanced special occasion license under RCW 66.24.380,</w:t>
      </w:r>
      <w:r>
        <w:rPr/>
        <w:t xml:space="preserve"> incorporated city or town through the official or employee selected by it, or the county legislative authority or the official or employee selected by it, has the right to file with the board within </w:t>
      </w:r>
      <w:r>
        <w:t>((</w:t>
      </w:r>
      <w:r>
        <w:rPr>
          <w:strike/>
        </w:rPr>
        <w:t xml:space="preserve">twenty</w:t>
      </w:r>
      <w:r>
        <w:t>))</w:t>
      </w:r>
      <w:r>
        <w:rPr/>
        <w:t xml:space="preserve"> </w:t>
      </w:r>
      <w:r>
        <w:rPr>
          <w:u w:val="single"/>
        </w:rPr>
        <w:t xml:space="preserve">20</w:t>
      </w:r>
      <w:r>
        <w:rPr/>
        <w:t xml:space="preserve"> days after the date of transmittal of such notice for applications, or at least </w:t>
      </w:r>
      <w:r>
        <w:t>((</w:t>
      </w:r>
      <w:r>
        <w:rPr>
          <w:strike/>
        </w:rPr>
        <w:t xml:space="preserve">thirty</w:t>
      </w:r>
      <w:r>
        <w:t>))</w:t>
      </w:r>
      <w:r>
        <w:rPr/>
        <w:t xml:space="preserve"> </w:t>
      </w:r>
      <w:r>
        <w:rPr>
          <w:u w:val="single"/>
        </w:rPr>
        <w:t xml:space="preserve">30</w:t>
      </w:r>
      <w:r>
        <w:rPr/>
        <w:t xml:space="preserve">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(e) </w:t>
      </w:r>
      <w:r>
        <w:t>((</w:t>
      </w:r>
      <w:r>
        <w:rPr>
          <w:strike/>
        </w:rPr>
        <w:t xml:space="preserve">Upon</w:t>
      </w:r>
      <w:r>
        <w:t>))</w:t>
      </w:r>
      <w:r>
        <w:rPr/>
        <w:t xml:space="preserve"> </w:t>
      </w:r>
      <w:r>
        <w:rPr>
          <w:u w:val="single"/>
        </w:rPr>
        <w:t xml:space="preserve">Except for an enhanced special occasion license under RCW 66.24.380, upon</w:t>
      </w:r>
      <w:r>
        <w:rPr/>
        <w:t xml:space="preserve">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w:t>
      </w:r>
      <w:r>
        <w:rPr>
          <w:u w:val="single"/>
        </w:rPr>
        <w:t xml:space="preserve">, not to include an enhanced special occasion license,</w:t>
      </w:r>
      <w:r>
        <w:rPr/>
        <w:t xml:space="preserv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w:t>
      </w:r>
      <w:r>
        <w:t>((</w:t>
      </w:r>
      <w:r>
        <w:rPr>
          <w:strike/>
        </w:rPr>
        <w:t xml:space="preserve">five hundred</w:t>
      </w:r>
      <w:r>
        <w:t>))</w:t>
      </w:r>
      <w:r>
        <w:rPr/>
        <w:t xml:space="preserve"> </w:t>
      </w:r>
      <w:r>
        <w:rPr>
          <w:u w:val="single"/>
        </w:rPr>
        <w:t xml:space="preserve">500</w:t>
      </w:r>
      <w:r>
        <w:rPr/>
        <w:t xml:space="preserve"> feet of the premises to be licensed. The board may not issue a liquor license for either on-premises or off-premises consumption covering any premises not now licensed, if such premises are within </w:t>
      </w:r>
      <w:r>
        <w:t>((</w:t>
      </w:r>
      <w:r>
        <w:rPr>
          <w:strike/>
        </w:rPr>
        <w:t xml:space="preserve">five hundred</w:t>
      </w:r>
      <w:r>
        <w:t>))</w:t>
      </w:r>
      <w:r>
        <w:rPr/>
        <w:t xml:space="preserve"> </w:t>
      </w:r>
      <w:r>
        <w:rPr>
          <w:u w:val="single"/>
        </w:rPr>
        <w:t xml:space="preserve">500</w:t>
      </w:r>
      <w:r>
        <w:rPr/>
        <w:t xml:space="preserve">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w:t>
      </w:r>
      <w:r>
        <w:t>((</w:t>
      </w:r>
      <w:r>
        <w:rPr>
          <w:strike/>
        </w:rPr>
        <w:t xml:space="preserve">twenty</w:t>
      </w:r>
      <w:r>
        <w:t>))</w:t>
      </w:r>
      <w:r>
        <w:rPr/>
        <w:t xml:space="preserve"> </w:t>
      </w:r>
      <w:r>
        <w:rPr>
          <w:u w:val="single"/>
        </w:rPr>
        <w:t xml:space="preserve">20</w:t>
      </w:r>
      <w:r>
        <w:rPr/>
        <w:t xml:space="preserve"> days after receiving such notice, from an official representative or representatives of the school within </w:t>
      </w:r>
      <w:r>
        <w:t>((</w:t>
      </w:r>
      <w:r>
        <w:rPr>
          <w:strike/>
        </w:rPr>
        <w:t xml:space="preserve">five hundred</w:t>
      </w:r>
      <w:r>
        <w:t>))</w:t>
      </w:r>
      <w:r>
        <w:rPr/>
        <w:t xml:space="preserve"> </w:t>
      </w:r>
      <w:r>
        <w:rPr>
          <w:u w:val="single"/>
        </w:rPr>
        <w:t xml:space="preserve">500</w:t>
      </w:r>
      <w:r>
        <w:rPr/>
        <w:t xml:space="preserve">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w:t>
      </w:r>
      <w:r>
        <w:t>((</w:t>
      </w:r>
      <w:r>
        <w:rPr>
          <w:strike/>
        </w:rPr>
        <w:t xml:space="preserve">five hundred</w:t>
      </w:r>
      <w:r>
        <w:t>))</w:t>
      </w:r>
      <w:r>
        <w:rPr/>
        <w:t xml:space="preserve"> </w:t>
      </w:r>
      <w:r>
        <w:rPr>
          <w:u w:val="single"/>
        </w:rPr>
        <w:t xml:space="preserve">500</w:t>
      </w:r>
      <w:r>
        <w:rPr/>
        <w:t xml:space="preserve">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w:t>
      </w:r>
      <w:r>
        <w:t>((</w:t>
      </w:r>
      <w:r>
        <w:rPr>
          <w:strike/>
        </w:rPr>
        <w:t xml:space="preserve">sixty</w:t>
      </w:r>
      <w:r>
        <w:t>))</w:t>
      </w:r>
      <w:r>
        <w:rPr/>
        <w:t xml:space="preserve"> </w:t>
      </w:r>
      <w:r>
        <w:rPr>
          <w:u w:val="single"/>
        </w:rPr>
        <w:t xml:space="preserve">60</w:t>
      </w:r>
      <w:r>
        <w:rPr/>
        <w:t xml:space="preserve"> days. A temporary license may be extended at the discretion of the board for additional periods of </w:t>
      </w:r>
      <w:r>
        <w:t>((</w:t>
      </w:r>
      <w:r>
        <w:rPr>
          <w:strike/>
        </w:rPr>
        <w:t xml:space="preserve">sixty</w:t>
      </w:r>
      <w:r>
        <w:t>))</w:t>
      </w:r>
      <w:r>
        <w:rPr/>
        <w:t xml:space="preserve"> </w:t>
      </w:r>
      <w:r>
        <w:rPr>
          <w:u w:val="single"/>
        </w:rPr>
        <w:t xml:space="preserve">60</w:t>
      </w:r>
      <w:r>
        <w:rPr/>
        <w:t xml:space="preserve">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2016 c 235 s 2 are each amended to read as follows:</w:t>
      </w:r>
    </w:p>
    <w:p>
      <w:pPr>
        <w:spacing w:before="0" w:after="0" w:line="408" w:lineRule="exact"/>
        <w:ind w:left="0" w:right="0" w:firstLine="576"/>
        <w:jc w:val="left"/>
      </w:pPr>
      <w:r>
        <w:rPr>
          <w:u w:val="single"/>
        </w:rPr>
        <w:t xml:space="preserve">(1)</w:t>
      </w:r>
      <w:r>
        <w:rPr/>
        <w:t xml:space="preserve"> 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w:t>
      </w:r>
      <w:r>
        <w:t>((</w:t>
      </w:r>
      <w:r>
        <w:rPr>
          <w:strike/>
        </w:rPr>
        <w:t xml:space="preserve">sixty dollars</w:t>
      </w:r>
      <w:r>
        <w:t>))</w:t>
      </w:r>
      <w:r>
        <w:rPr/>
        <w:t xml:space="preserve"> </w:t>
      </w:r>
      <w:r>
        <w:rPr>
          <w:u w:val="single"/>
        </w:rPr>
        <w:t xml:space="preserve">$60</w:t>
      </w:r>
      <w:r>
        <w:rPr/>
        <w:t xml:space="preserve"> per day.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not-for-profit society or organization is limited to sales of no more than </w:t>
      </w:r>
      <w:r>
        <w:t>((</w:t>
      </w:r>
      <w:r>
        <w:rPr>
          <w:strike/>
        </w:rPr>
        <w:t xml:space="preserve">twelve</w:t>
      </w:r>
      <w:r>
        <w:t>))</w:t>
      </w:r>
      <w:r>
        <w:rPr/>
        <w:t xml:space="preserve"> </w:t>
      </w:r>
      <w:r>
        <w:rPr>
          <w:u w:val="single"/>
        </w:rPr>
        <w:t xml:space="preserve">12</w:t>
      </w:r>
      <w:r>
        <w:rPr/>
        <w:t xml:space="preser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w:t>
      </w:r>
      <w:r>
        <w:t>((</w:t>
      </w:r>
      <w:r>
        <w:rPr>
          <w:strike/>
        </w:rPr>
        <w:t xml:space="preserve">sixty dollars</w:t>
      </w:r>
      <w:r>
        <w:t>))</w:t>
      </w:r>
      <w:r>
        <w:rPr/>
        <w:t xml:space="preserve"> </w:t>
      </w:r>
      <w:r>
        <w:rPr>
          <w:u w:val="single"/>
        </w:rPr>
        <w:t xml:space="preserve">$60</w:t>
      </w:r>
      <w:r>
        <w:rPr/>
        <w:t xml:space="preserve"> per day for this event.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Sale, service, and consumption of spirits, beer, and wine is to be confined to specified premises or designated areas only.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Liquor sold under this special occasion license must be purchased from a licensee of the board.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violation of this section is a class 1 civil infraction having a maximum penalty of </w:t>
      </w:r>
      <w:r>
        <w:t>((</w:t>
      </w:r>
      <w:r>
        <w:rPr>
          <w:strike/>
        </w:rPr>
        <w:t xml:space="preserve">two hundred fifty dollars</w:t>
      </w:r>
      <w:r>
        <w:t>))</w:t>
      </w:r>
      <w:r>
        <w:rPr/>
        <w:t xml:space="preserve"> </w:t>
      </w:r>
      <w:r>
        <w:rPr>
          <w:u w:val="single"/>
        </w:rPr>
        <w:t xml:space="preserve">$250</w:t>
      </w:r>
      <w:r>
        <w:rPr/>
        <w:t xml:space="preserve"> as provided for in chapter 7.80 RCW.</w:t>
      </w:r>
    </w:p>
    <w:p>
      <w:pPr>
        <w:spacing w:before="0" w:after="0" w:line="408" w:lineRule="exact"/>
        <w:ind w:left="0" w:right="0" w:firstLine="576"/>
        <w:jc w:val="left"/>
      </w:pPr>
      <w:r>
        <w:rPr>
          <w:u w:val="single"/>
        </w:rPr>
        <w:t xml:space="preserve">(2) Any licensee that has held a special occasion license under this section for at least 10 years and has not had any enforcement actions taken against the licensee by the board in the previous five years may apply to the board for an enhanced special occasion license. An enhanced special occasion licensee:</w:t>
      </w:r>
    </w:p>
    <w:p>
      <w:pPr>
        <w:spacing w:before="0" w:after="0" w:line="408" w:lineRule="exact"/>
        <w:ind w:left="0" w:right="0" w:firstLine="576"/>
        <w:jc w:val="left"/>
      </w:pPr>
      <w:r>
        <w:rPr>
          <w:u w:val="single"/>
        </w:rPr>
        <w:t xml:space="preserve">(a) May hold an unlimited number of events each year;</w:t>
      </w:r>
    </w:p>
    <w:p>
      <w:pPr>
        <w:spacing w:before="0" w:after="0" w:line="408" w:lineRule="exact"/>
        <w:ind w:left="0" w:right="0" w:firstLine="576"/>
        <w:jc w:val="left"/>
      </w:pPr>
      <w:r>
        <w:rPr>
          <w:u w:val="single"/>
        </w:rPr>
        <w:t xml:space="preserve">(b) May hold public and nonpublic events without holding any separate license;</w:t>
      </w:r>
    </w:p>
    <w:p>
      <w:pPr>
        <w:spacing w:before="0" w:after="0" w:line="408" w:lineRule="exact"/>
        <w:ind w:left="0" w:right="0" w:firstLine="576"/>
        <w:jc w:val="left"/>
      </w:pPr>
      <w:r>
        <w:rPr>
          <w:u w:val="single"/>
        </w:rPr>
        <w:t xml:space="preserve">(c) Shall notify the board at least 24 hours before an event with the dates, times, and locations of the event; and</w:t>
      </w:r>
    </w:p>
    <w:p>
      <w:pPr>
        <w:spacing w:before="0" w:after="0" w:line="408" w:lineRule="exact"/>
        <w:ind w:left="0" w:right="0" w:firstLine="576"/>
        <w:jc w:val="left"/>
      </w:pPr>
      <w:r>
        <w:rPr>
          <w:u w:val="single"/>
        </w:rPr>
        <w:t xml:space="preserve">(d) Does not need approval from the chief executive officer of the incorporated city or town or the county legislative authority of the county in which the event is to be held, but must obtain any event permit required by the applicable city, town, or county to conduct such event.</w:t>
      </w:r>
    </w:p>
    <w:p/>
    <w:p>
      <w:pPr>
        <w:jc w:val="center"/>
      </w:pPr>
      <w:r>
        <w:rPr>
          <w:b/>
        </w:rPr>
        <w:t>--- END ---</w:t>
      </w:r>
    </w:p>
    <w:sectPr>
      <w:pgNumType w:start="1"/>
      <w:footerReference xmlns:r="http://schemas.openxmlformats.org/officeDocument/2006/relationships" r:id="Rb31ef227d0324f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c0498d41e74203" /><Relationship Type="http://schemas.openxmlformats.org/officeDocument/2006/relationships/footer" Target="/word/footer1.xml" Id="Rb31ef227d0324f44" /></Relationships>
</file>