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cbf9ddcbc4b1f" /></Relationships>
</file>

<file path=word/document.xml><?xml version="1.0" encoding="utf-8"?>
<w:document xmlns:w="http://schemas.openxmlformats.org/wordprocessingml/2006/main">
  <w:body>
    <w:p>
      <w:r>
        <w:t>H-0296.2</w:t>
      </w:r>
    </w:p>
    <w:p>
      <w:pPr>
        <w:jc w:val="center"/>
      </w:pPr>
      <w:r>
        <w:t>_______________________________________________</w:t>
      </w:r>
    </w:p>
    <w:p/>
    <w:p>
      <w:pPr>
        <w:jc w:val="center"/>
      </w:pPr>
      <w:r>
        <w:rPr>
          <w:b/>
        </w:rPr>
        <w:t>HOUSE BILL 1785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Lekanoff, Santos, Ormsby, and Pollet</w:t>
      </w:r>
    </w:p>
    <w:p/>
    <w:p>
      <w:r>
        <w:rPr>
          <w:t xml:space="preserve">Read first time 02/07/23.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COVID-19 as an occupational disease; amending RCW 51.32.181;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an important and essential protection for workers who contracted COVID-19 during the COVID-19 pandemic, to be fully protected and covered under our workers' compensation system. The legislature intends to give consistent presumptive protections to all workers who contracted COVID-19 during the COVID-19 pandemic when proximately caused by exposures at work, as expressed by the legislature in RCW 51.32.181 as established in Laws of 2021, chapter 252, section 1. The legislature further intends to ensure workers' compensation protections to any worker who has shown that workplace exposure was a proximate cause of contracting COVID-19, and to impose no further requirements on any worker to impair the worker's eligibility for benefits and coverage. It is the intent of the legislature that the board of industrial insurance appeals decision </w:t>
      </w:r>
      <w:r>
        <w:rPr>
          <w:i/>
        </w:rPr>
        <w:t xml:space="preserve">In re Christopher J. Sutherland</w:t>
      </w:r>
      <w:r>
        <w:rPr/>
        <w:t xml:space="preserve">, docket number: 21 15953 (August 8, 2022) be overturned.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181</w:t>
      </w:r>
      <w:r>
        <w:rPr/>
        <w:t xml:space="preserve"> and 2022 c 290 s 1 are each amended to read as follows:</w:t>
      </w:r>
    </w:p>
    <w:p>
      <w:pPr>
        <w:spacing w:before="0" w:after="0" w:line="408" w:lineRule="exact"/>
        <w:ind w:left="0" w:right="0" w:firstLine="576"/>
        <w:jc w:val="left"/>
      </w:pPr>
      <w:r>
        <w:rPr/>
        <w:t xml:space="preserve">(1)</w:t>
      </w:r>
      <w:r>
        <w:rPr>
          <w:u w:val="single"/>
        </w:rPr>
        <w:t xml:space="preserve">(a) For all workers covered under this title, any infectious or contagious diseases that are transmitted through respiratory droplets or aerosols, or through contact with contaminated surfaces and are the subject of a public health emergency, and which are shown to be proximately caused by employment or work conditions, whether through the presumption set out in this section or otherwise, are occupational diseases under RCW 51.08.140.</w:t>
      </w:r>
    </w:p>
    <w:p>
      <w:pPr>
        <w:spacing w:before="0" w:after="0" w:line="408" w:lineRule="exact"/>
        <w:ind w:left="0" w:right="0" w:firstLine="576"/>
        <w:jc w:val="left"/>
      </w:pPr>
      <w:r>
        <w:rPr>
          <w:u w:val="single"/>
        </w:rPr>
        <w:t xml:space="preserve">(b) Beginning on the effective date of this section, a worker or the survivor of a worker who has died as a result of any infectious or contagious disease that is transmitted through respiratory droplets or aerosols, or through contact with contaminated surfaces and is the subject of a public health emergency, and whose claim was denied by order of the department, the board of industrial insurance appeals, or a court, may file a new claim for the same exposure and contended condition or disease, if the denial was made before the effective date of this section.</w:t>
      </w:r>
    </w:p>
    <w:p>
      <w:pPr>
        <w:spacing w:before="0" w:after="0" w:line="408" w:lineRule="exact"/>
        <w:ind w:left="0" w:right="0" w:firstLine="576"/>
        <w:jc w:val="left"/>
      </w:pPr>
      <w:r>
        <w:rPr>
          <w:u w:val="single"/>
        </w:rPr>
        <w:t xml:space="preserve">(2)</w:t>
      </w:r>
      <w:r>
        <w:rPr/>
        <w:t xml:space="preserve">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RCW 51.32.090(7) does not apply to an occupational disease under this section except that no worker shall receive compensation for or during the day on which the occupational disease was contracted. For the purposes of this subsection </w:t>
      </w:r>
      <w:r>
        <w:t>((</w:t>
      </w:r>
      <w:r>
        <w:rPr>
          <w:strike/>
        </w:rPr>
        <w:t xml:space="preserve">(4)</w:t>
      </w:r>
      <w:r>
        <w:t>))</w:t>
      </w:r>
      <w:r>
        <w:rPr/>
        <w:t xml:space="preserve"> </w:t>
      </w:r>
      <w:r>
        <w:rPr>
          <w:u w:val="single"/>
        </w:rPr>
        <w:t xml:space="preserve">(5)</w:t>
      </w:r>
      <w:r>
        <w:rPr/>
        <w:t xml:space="preserve">,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of the payments under this section shall not affect the experience rating of employers insured by the state fund.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w:t>
      </w:r>
      <w:r>
        <w:t>((</w:t>
      </w:r>
      <w:r>
        <w:rPr>
          <w:strike/>
        </w:rPr>
        <w:t xml:space="preserve">(7)</w:t>
      </w:r>
      <w:r>
        <w:t>))</w:t>
      </w:r>
      <w:r>
        <w:rPr/>
        <w:t xml:space="preserve"> </w:t>
      </w:r>
      <w:r>
        <w:rPr>
          <w:u w:val="single"/>
        </w:rPr>
        <w:t xml:space="preserve">(8)</w:t>
      </w:r>
      <w:r>
        <w:rPr/>
        <w:t xml:space="preserve">(f)(x):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(xiv) Employees employed by the department of licensing who are assigned to review, process, approve, and issue driver licenses to the general public,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exposure or the date the claim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0138f41ea940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578b711fe14575" /><Relationship Type="http://schemas.openxmlformats.org/officeDocument/2006/relationships/footer" Target="/word/footer1.xml" Id="R900138f41ea94026" /></Relationships>
</file>