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e185c8f9094f82" /></Relationships>
</file>

<file path=word/document.xml><?xml version="1.0" encoding="utf-8"?>
<w:document xmlns:w="http://schemas.openxmlformats.org/wordprocessingml/2006/main">
  <w:body>
    <w:p>
      <w:r>
        <w:t>H-1523.1</w:t>
      </w:r>
    </w:p>
    <w:p>
      <w:pPr>
        <w:jc w:val="center"/>
      </w:pPr>
      <w:r>
        <w:t>_______________________________________________</w:t>
      </w:r>
    </w:p>
    <w:p/>
    <w:p>
      <w:pPr>
        <w:jc w:val="center"/>
      </w:pPr>
      <w:r>
        <w:rPr>
          <w:b/>
        </w:rPr>
        <w:t>SUBSTITUTE HOUSE BILL 1829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and Barkis)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LeMay-America's Car Museum special license plate;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w:t>
            </w:r>
            <w:r>
              <w:rPr>
                <w:rFonts w:ascii="Times New Roman" w:hAnsi="Times New Roman"/>
                <w:sz w:val="16"/>
                <w:u w:val="single"/>
              </w:rPr>
              <w:t xml:space="preserve">LeMay-America's Car Museum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(15)</w:t>
            </w:r>
            <w:r>
              <w:rPr>
                <w:rFonts w:ascii="Times New Roman" w:hAnsi="Times New Roman"/>
                <w:sz w:val="16"/>
              </w:rPr>
              <w:t xml:space="preserve">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(15)</w:t>
            </w:r>
            <w:r>
              <w:t>))</w:t>
            </w:r>
            <w:r>
              <w:rPr>
                <w:rFonts w:ascii="Times New Roman" w:hAnsi="Times New Roman"/>
                <w:sz w:val="16"/>
              </w:rPr>
              <w:t xml:space="preserve"> </w:t>
            </w:r>
            <w:r>
              <w:rPr>
                <w:rFonts w:ascii="Times New Roman" w:hAnsi="Times New Roman"/>
                <w:sz w:val="16"/>
                <w:u w:val="single"/>
              </w:rPr>
              <w:t xml:space="preserve">(16)</w:t>
            </w:r>
            <w:r>
              <w:rPr>
                <w:rFonts w:ascii="Times New Roman" w:hAnsi="Times New Roman"/>
                <w:sz w:val="16"/>
              </w:rPr>
              <w:t xml:space="preserve">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(16)</w:t>
            </w:r>
            <w:r>
              <w:t>))</w:t>
            </w:r>
            <w:r>
              <w:rPr>
                <w:rFonts w:ascii="Times New Roman" w:hAnsi="Times New Roman"/>
                <w:sz w:val="16"/>
              </w:rPr>
              <w:t xml:space="preserve"> </w:t>
            </w:r>
            <w:r>
              <w:rPr>
                <w:rFonts w:ascii="Times New Roman" w:hAnsi="Times New Roman"/>
                <w:sz w:val="16"/>
                <w:u w:val="single"/>
              </w:rPr>
              <w:t xml:space="preserve">(17)</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style homage to classic Washington automobile plates.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promote, encourage, and inspire students and the community to understand the role of automobiles in our culture and economy through education, interpretive programs, and job training; to open doors to learning through science, technology, engineering, the arts, and math (STEAM); and to inspire a new generation of skilled trade workers, engineers, designers, artists, and enthusiasts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"LeMay-America's Car Museum license plates" means special license plates issued under RCW 46.18.200 that display the logo of the LeMay-America's Car Museum.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2023.</w:t>
      </w:r>
    </w:p>
    <w:p/>
    <w:p>
      <w:pPr>
        <w:jc w:val="center"/>
      </w:pPr>
      <w:r>
        <w:rPr>
          <w:b/>
        </w:rPr>
        <w:t>--- END ---</w:t>
      </w:r>
    </w:p>
    <w:sectPr>
      <w:pgNumType w:start="1"/>
      <w:footerReference xmlns:r="http://schemas.openxmlformats.org/officeDocument/2006/relationships" r:id="R069f16a41f5e47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ced7e3910b49b3" /><Relationship Type="http://schemas.openxmlformats.org/officeDocument/2006/relationships/footer" Target="/word/footer1.xml" Id="R069f16a41f5e4739" /></Relationships>
</file>