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54e23c9c574e84" /></Relationships>
</file>

<file path=word/document.xml><?xml version="1.0" encoding="utf-8"?>
<w:document xmlns:w="http://schemas.openxmlformats.org/wordprocessingml/2006/main">
  <w:body>
    <w:p>
      <w:r>
        <w:t>H-1116.1</w:t>
      </w:r>
    </w:p>
    <w:p>
      <w:pPr>
        <w:jc w:val="center"/>
      </w:pPr>
      <w:r>
        <w:t>_______________________________________________</w:t>
      </w:r>
    </w:p>
    <w:p/>
    <w:p>
      <w:pPr>
        <w:jc w:val="center"/>
      </w:pPr>
      <w:r>
        <w:rPr>
          <w:b/>
        </w:rPr>
        <w:t>HOUSE BILL 1829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Fey and Barkis</w:t>
      </w:r>
    </w:p>
    <w:p/>
    <w:p>
      <w:r>
        <w:rPr>
          <w:t xml:space="preserve">Read first time 02/15/23.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LeMay-America's Car Museum special license plate; reenacting and amending RCW 46.17.220, 46.18.200,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2022 c 239 s 1 and 2022 c 117 s 1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w:t>
            </w:r>
            <w:r>
              <w:rPr>
                <w:rFonts w:ascii="Times New Roman" w:hAnsi="Times New Roman"/>
                <w:sz w:val="16"/>
                <w:u w:val="single"/>
              </w:rPr>
              <w:t xml:space="preserve">LeMay-America's Car Museum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(15)</w:t>
            </w:r>
            <w:r>
              <w:rPr>
                <w:rFonts w:ascii="Times New Roman" w:hAnsi="Times New Roman"/>
                <w:sz w:val="16"/>
              </w:rPr>
              <w:t xml:space="preserve">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(15)</w:t>
            </w:r>
            <w:r>
              <w:t>))</w:t>
            </w:r>
            <w:r>
              <w:rPr>
                <w:rFonts w:ascii="Times New Roman" w:hAnsi="Times New Roman"/>
                <w:sz w:val="16"/>
              </w:rPr>
              <w:t xml:space="preserve"> </w:t>
            </w:r>
            <w:r>
              <w:rPr>
                <w:rFonts w:ascii="Times New Roman" w:hAnsi="Times New Roman"/>
                <w:sz w:val="16"/>
                <w:u w:val="single"/>
              </w:rPr>
              <w:t xml:space="preserve">(16)</w:t>
            </w:r>
            <w:r>
              <w:rPr>
                <w:rFonts w:ascii="Times New Roman" w:hAnsi="Times New Roman"/>
                <w:sz w:val="16"/>
              </w:rPr>
              <w:t xml:space="preserve">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(16)</w:t>
            </w:r>
            <w:r>
              <w:t>))</w:t>
            </w:r>
            <w:r>
              <w:rPr>
                <w:rFonts w:ascii="Times New Roman" w:hAnsi="Times New Roman"/>
                <w:sz w:val="16"/>
              </w:rPr>
              <w:t xml:space="preserve"> </w:t>
            </w:r>
            <w:r>
              <w:rPr>
                <w:rFonts w:ascii="Times New Roman" w:hAnsi="Times New Roman"/>
                <w:sz w:val="16"/>
                <w:u w:val="single"/>
              </w:rPr>
              <w:t xml:space="preserve">(17)</w:t>
            </w:r>
            <w:r>
              <w:rPr>
                <w:rFonts w:ascii="Times New Roman" w:hAnsi="Times New Roman"/>
                <w:sz w:val="16"/>
              </w:rPr>
              <w:t xml:space="preserve"> Patches pal, or alternative name as designated by the department under RCW 46.04.383</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(17)</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(18)</w:t>
            </w:r>
            <w:r>
              <w:t>))</w:t>
            </w:r>
            <w:r>
              <w:rPr>
                <w:rFonts w:ascii="Times New Roman" w:hAnsi="Times New Roman"/>
                <w:sz w:val="16"/>
              </w:rPr>
              <w:t xml:space="preserve"> </w:t>
            </w:r>
            <w:r>
              <w:rPr>
                <w:rFonts w:ascii="Times New Roman" w:hAnsi="Times New Roman"/>
                <w:sz w:val="16"/>
                <w:u w:val="single"/>
              </w:rPr>
              <w:t xml:space="preserve">(19)</w:t>
            </w:r>
            <w:r>
              <w:rPr>
                <w:rFonts w:ascii="Times New Roman" w:hAnsi="Times New Roman"/>
                <w:sz w:val="16"/>
              </w:rPr>
              <w:t xml:space="preserve">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(19)</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(43)</w:t>
            </w:r>
            <w:r>
              <w:t>))</w:t>
            </w:r>
            <w:r>
              <w:rPr>
                <w:rFonts w:ascii="Times New Roman" w:hAnsi="Times New Roman"/>
                <w:sz w:val="16"/>
              </w:rPr>
              <w:t xml:space="preserve"> </w:t>
            </w:r>
            <w:r>
              <w:rPr>
                <w:rFonts w:ascii="Times New Roman" w:hAnsi="Times New Roman"/>
                <w:sz w:val="16"/>
                <w:u w:val="single"/>
              </w:rPr>
              <w:t xml:space="preserve">(44)</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(44)</w:t>
            </w:r>
            <w:r>
              <w:t>))</w:t>
            </w:r>
            <w:r>
              <w:rPr>
                <w:rFonts w:ascii="Times New Roman" w:hAnsi="Times New Roman"/>
                <w:sz w:val="16"/>
              </w:rPr>
              <w:t xml:space="preserve"> </w:t>
            </w:r>
            <w:r>
              <w:rPr>
                <w:rFonts w:ascii="Times New Roman" w:hAnsi="Times New Roman"/>
                <w:sz w:val="16"/>
                <w:u w:val="single"/>
              </w:rPr>
              <w:t xml:space="preserve">(45)</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LeMay-America's Car Museum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the "LeMay-America's Car Museum"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w:t>
      </w:r>
      <w:r>
        <w:t>((</w:t>
      </w:r>
      <w:r>
        <w:rPr>
          <w:strike/>
        </w:rPr>
        <w:t xml:space="preserve">ten</w:t>
      </w:r>
      <w:r>
        <w:t>))</w:t>
      </w:r>
      <w:r>
        <w:rPr/>
        <w:t xml:space="preserve"> </w:t>
      </w:r>
      <w:r>
        <w:rPr>
          <w:u w:val="single"/>
        </w:rPr>
        <w:t xml:space="preserve">10</w:t>
      </w:r>
      <w:r>
        <w:rPr/>
        <w:t xml:space="preserve"> years or be a volunteer firefighter for one or more years and (b) have documentation of service from the district of the appropriate fire service. If the volunteer firefighter leaves firefighting service before </w:t>
      </w:r>
      <w:r>
        <w:t>((</w:t>
      </w:r>
      <w:r>
        <w:rPr>
          <w:strike/>
        </w:rPr>
        <w:t xml:space="preserve">ten</w:t>
      </w:r>
      <w:r>
        <w:t>))</w:t>
      </w:r>
      <w:r>
        <w:rPr/>
        <w:t xml:space="preserve"> </w:t>
      </w:r>
      <w:r>
        <w:rPr>
          <w:u w:val="single"/>
        </w:rPr>
        <w:t xml:space="preserve">10</w:t>
      </w:r>
      <w:r>
        <w:rPr/>
        <w:t xml:space="preserve"> years of service have been completed, the volunteer firefighter shall surrender the license plates to the department on the registration renewal date. If the volunteer firefighter stays in service for at least </w:t>
      </w:r>
      <w:r>
        <w:t>((</w:t>
      </w:r>
      <w:r>
        <w:rPr>
          <w:strike/>
        </w:rPr>
        <w:t xml:space="preserve">ten</w:t>
      </w:r>
      <w:r>
        <w:t>))</w:t>
      </w:r>
      <w:r>
        <w:rPr/>
        <w:t xml:space="preserve"> </w:t>
      </w:r>
      <w:r>
        <w:rPr>
          <w:u w:val="single"/>
        </w:rPr>
        <w:t xml:space="preserve">10</w:t>
      </w:r>
      <w:r>
        <w:rPr/>
        <w:t xml:space="preserve">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2022 c 239 s 3, 2022 c 117 s 3, and 2022 c 96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LeMay-America's Car Museum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promote, encourage, and inspire students and the community to understand the role of automobiles in our culture and economy through education, interpretive programs, and job training; to open doors to learning through science, technology, engineering, the arts, and math (STEAM); and to inspire a new generation of skilled trade workers, engineers, designers, artists, and enthusiasts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the Washington state leadership board solely to administer the sports mentoring program established under RCW 43.388.040, to encourage youth who have economic needs or face adversities to experience spectator sports or get involved in youth sports, and (b) up to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w:t>
            </w:r>
            <w:r>
              <w:t>((</w:t>
            </w:r>
            <w:r>
              <w:rPr>
                <w:rFonts w:ascii="Times New Roman" w:hAnsi="Times New Roman"/>
                <w:strike/>
                <w:sz w:val="16"/>
              </w:rPr>
              <w:t xml:space="preserve">Fifty</w:t>
            </w:r>
            <w:r>
              <w:t>))</w:t>
            </w:r>
            <w:r>
              <w:rPr>
                <w:rFonts w:ascii="Times New Roman" w:hAnsi="Times New Roman"/>
                <w:sz w:val="16"/>
              </w:rPr>
              <w:t xml:space="preserve"> </w:t>
            </w:r>
            <w:r>
              <w:rPr>
                <w:rFonts w:ascii="Times New Roman" w:hAnsi="Times New Roman"/>
                <w:sz w:val="16"/>
                <w:u w:val="single"/>
              </w:rPr>
              <w:t xml:space="preserve">50</w:t>
            </w:r>
            <w:r>
              <w:rPr>
                <w:rFonts w:ascii="Times New Roman" w:hAnsi="Times New Roman"/>
                <w:sz w:val="16"/>
              </w:rPr>
              <w:t xml:space="preserve"> percent to the NHL Seattle foundation, or its successor organization, to help marginalized youth succeed in life through increased access to sports and other opportunities;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boundless Washington program to facilitate opportunities for young people with physical and sensory disabilities to enjoy and experience the outdoors; and (c)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InvestED, to encourage secondary students who have economic needs to stay in school, return to school, or get involved within their learning community; and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Washington state leadership board in the following manner: (a) </w:t>
            </w:r>
            <w:r>
              <w:t>((</w:t>
            </w:r>
            <w:r>
              <w:rPr>
                <w:rFonts w:ascii="Times New Roman" w:hAnsi="Times New Roman"/>
                <w:strike/>
                <w:sz w:val="16"/>
              </w:rPr>
              <w:t xml:space="preserve">Seventy</w:t>
            </w:r>
            <w:r>
              <w:t>))</w:t>
            </w:r>
            <w:r>
              <w:rPr>
                <w:rFonts w:ascii="Times New Roman" w:hAnsi="Times New Roman"/>
                <w:sz w:val="16"/>
              </w:rPr>
              <w:t xml:space="preserve"> </w:t>
            </w:r>
            <w:r>
              <w:rPr>
                <w:rFonts w:ascii="Times New Roman" w:hAnsi="Times New Roman"/>
                <w:sz w:val="16"/>
                <w:u w:val="single"/>
              </w:rPr>
              <w:t xml:space="preserve">70</w:t>
            </w:r>
            <w:r>
              <w:rPr>
                <w:rFonts w:ascii="Times New Roman" w:hAnsi="Times New Roman"/>
                <w:sz w:val="16"/>
              </w:rPr>
              <w:t xml:space="preserve"> percent and the remaining proceeds, if any, to Washington state mentors, to increase the number of mentors in the state by offering mentoring grants throughout Washington state that foster positive youth development and academic success, with up to </w:t>
            </w:r>
            <w:r>
              <w:t>((</w:t>
            </w:r>
            <w:r>
              <w:rPr>
                <w:rFonts w:ascii="Times New Roman" w:hAnsi="Times New Roman"/>
                <w:strike/>
                <w:sz w:val="16"/>
              </w:rPr>
              <w:t xml:space="preserve">twenty</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percent of these proceeds authorized for program administration costs; and (b) up to </w:t>
            </w:r>
            <w:r>
              <w:t>((</w:t>
            </w:r>
            <w:r>
              <w:rPr>
                <w:rFonts w:ascii="Times New Roman" w:hAnsi="Times New Roman"/>
                <w:strike/>
                <w:sz w:val="16"/>
              </w:rPr>
              <w:t xml:space="preserve">thirty</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percent, not to exceed </w:t>
            </w:r>
            <w:r>
              <w:t>((</w:t>
            </w:r>
            <w:r>
              <w:rPr>
                <w:rFonts w:ascii="Times New Roman" w:hAnsi="Times New Roman"/>
                <w:strike/>
                <w:sz w:val="16"/>
              </w:rPr>
              <w:t xml:space="preserve">forty-thousand dollars</w:t>
            </w:r>
            <w:r>
              <w:t>))</w:t>
            </w:r>
            <w:r>
              <w:rPr>
                <w:rFonts w:ascii="Times New Roman" w:hAnsi="Times New Roman"/>
                <w:sz w:val="16"/>
              </w:rPr>
              <w:t xml:space="preserve"> </w:t>
            </w:r>
            <w:r>
              <w:rPr>
                <w:rFonts w:ascii="Times New Roman" w:hAnsi="Times New Roman"/>
                <w:sz w:val="16"/>
                <w:u w:val="single"/>
              </w:rPr>
              <w:t xml:space="preserve">$40,000</w:t>
            </w:r>
            <w:r>
              <w:rPr>
                <w:rFonts w:ascii="Times New Roman" w:hAnsi="Times New Roman"/>
                <w:sz w:val="16"/>
              </w:rPr>
              <w:t xml:space="preserve"> annually as adjusted for inflation by the office of financial management, to the Washington state leadership board,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Washington state leadership board in the following manner: </w:t>
            </w:r>
            <w:r>
              <w:t>((</w:t>
            </w:r>
            <w:r>
              <w:rPr>
                <w:rFonts w:ascii="Times New Roman" w:hAnsi="Times New Roman"/>
                <w:strike/>
                <w:sz w:val="16"/>
              </w:rPr>
              <w:t xml:space="preserve">Twenty-five thousand dollars</w:t>
            </w:r>
            <w:r>
              <w:t>))</w:t>
            </w:r>
            <w:r>
              <w:rPr>
                <w:rFonts w:ascii="Times New Roman" w:hAnsi="Times New Roman"/>
                <w:sz w:val="16"/>
              </w:rPr>
              <w:t xml:space="preserve"> </w:t>
            </w:r>
            <w:r>
              <w:rPr>
                <w:rFonts w:ascii="Times New Roman" w:hAnsi="Times New Roman"/>
                <w:sz w:val="16"/>
                <w:u w:val="single"/>
              </w:rPr>
              <w:t xml:space="preserve">$25,000</w:t>
            </w:r>
            <w:r>
              <w:rPr>
                <w:rFonts w:ascii="Times New Roman" w:hAnsi="Times New Roman"/>
                <w:sz w:val="16"/>
              </w:rPr>
              <w:t xml:space="preserve"> per year of the net proceeds to the legislative youth advisory council, or its successor organization; and the remaining net proceeds on an annual basis, to the Washington state leadership board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state of Washington tourism to promote tourism throughout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Washington state leadership board solely for the purpose of administering the Washington world fellows program. Of the amounts received by the Washington state leadership board under this subsection, at least </w:t>
      </w:r>
      <w:r>
        <w:t>((</w:t>
      </w:r>
      <w:r>
        <w:rPr>
          <w:strike/>
        </w:rPr>
        <w:t xml:space="preserve">ninety</w:t>
      </w:r>
      <w:r>
        <w:t>))</w:t>
      </w:r>
      <w:r>
        <w:rPr/>
        <w:t xml:space="preserve"> </w:t>
      </w:r>
      <w:r>
        <w:rPr>
          <w:u w:val="single"/>
        </w:rPr>
        <w:t xml:space="preserve">90</w:t>
      </w:r>
      <w:r>
        <w:rPr/>
        <w:t xml:space="preserve">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Washington state leadership board solely for the purpose of administering the sports mentoring program. Of the amounts received by the Washington state leadership board, at least </w:t>
      </w:r>
      <w:r>
        <w:t>((</w:t>
      </w:r>
      <w:r>
        <w:rPr>
          <w:strike/>
        </w:rPr>
        <w:t xml:space="preserve">ninety</w:t>
      </w:r>
      <w:r>
        <w:t>))</w:t>
      </w:r>
      <w:r>
        <w:rPr/>
        <w:t xml:space="preserve"> </w:t>
      </w:r>
      <w:r>
        <w:rPr>
          <w:u w:val="single"/>
        </w:rPr>
        <w:t xml:space="preserve">90</w:t>
      </w:r>
      <w:r>
        <w:rPr/>
        <w:t xml:space="preserve">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"LeMay-America's Car Museum license plates" means special license plates issued under RCW 46.18.200 that display the logo of the LeMay-America's Car Museum.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2023.</w:t>
      </w:r>
    </w:p>
    <w:p/>
    <w:p>
      <w:pPr>
        <w:jc w:val="center"/>
      </w:pPr>
      <w:r>
        <w:rPr>
          <w:b/>
        </w:rPr>
        <w:t>--- END ---</w:t>
      </w:r>
    </w:p>
    <w:sectPr>
      <w:pgNumType w:start="1"/>
      <w:footerReference xmlns:r="http://schemas.openxmlformats.org/officeDocument/2006/relationships" r:id="R49aced4c883245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7968ace8064889" /><Relationship Type="http://schemas.openxmlformats.org/officeDocument/2006/relationships/footer" Target="/word/footer1.xml" Id="R49aced4c88324596" /></Relationships>
</file>