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1259a1da14072" /></Relationships>
</file>

<file path=word/document.xml><?xml version="1.0" encoding="utf-8"?>
<w:document xmlns:w="http://schemas.openxmlformats.org/wordprocessingml/2006/main">
  <w:body>
    <w:p>
      <w:r>
        <w:t>H-2805.1</w:t>
      </w:r>
    </w:p>
    <w:p>
      <w:pPr>
        <w:jc w:val="center"/>
      </w:pPr>
      <w:r>
        <w:t>_______________________________________________</w:t>
      </w:r>
    </w:p>
    <w:p/>
    <w:p>
      <w:pPr>
        <w:jc w:val="center"/>
      </w:pPr>
      <w:r>
        <w:rPr>
          <w:b/>
        </w:rPr>
        <w:t>SUBSTITUTE HOUSE BILL 1899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Volz, Schmidt, Chapman, Graham, Rule, Leavitt, Waters, Low, Christian, Couture, McClintock, Barnard, Jacobsen, Timmons, Schmick, Dent, Cheney, Sandlin, and Griffey)</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amending RCW 70A.65.260; adding a new section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grants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w:t>
      </w:r>
      <w:r>
        <w:t>((</w:t>
      </w:r>
      <w:r>
        <w:rPr>
          <w:strike/>
        </w:rPr>
        <w:t xml:space="preserve">and</w:t>
      </w:r>
      <w:r>
        <w:t>))</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r>
        <w:rPr>
          <w:u w:val="single"/>
        </w:rPr>
        <w:t xml:space="preserve">; and</w:t>
      </w:r>
    </w:p>
    <w:p>
      <w:pPr>
        <w:spacing w:before="0" w:after="0" w:line="408" w:lineRule="exact"/>
        <w:ind w:left="0" w:right="0" w:firstLine="576"/>
        <w:jc w:val="left"/>
      </w:pPr>
      <w:r>
        <w:rPr>
          <w:u w:val="single"/>
        </w:rPr>
        <w:t xml:space="preserve">(n) Providing grants under section 3 of this act for the purpose of assisting individuals, local governments, and businesses rebuilding from losses due to wildfires in meeting current energy code efficiency standards, increasing electric vehicle charging capacity, and increasing solar installations in new or rebuilt buildings</w:t>
      </w:r>
      <w:r>
        <w:rPr/>
        <w:t xml:space="preserve">.</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grant program to provide assistance to qualifying property owners and local governments that had buildings destroyed or damaged in a wildfire after January 1, 2023. The department shall provide, by rule, for a system for the submission and evaluation of grant applications, and for ensuring that the grants are only used for the purposes specified in this section.</w:t>
      </w:r>
    </w:p>
    <w:p>
      <w:pPr>
        <w:spacing w:before="0" w:after="0" w:line="408" w:lineRule="exact"/>
        <w:ind w:left="0" w:right="0" w:firstLine="576"/>
        <w:jc w:val="left"/>
      </w:pPr>
      <w:r>
        <w:rPr/>
        <w:t xml:space="preserve">(2) Grants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 at the time the building was destroyed;</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Grants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grants under this section, and must prioritize any building that is owned or rented by a low-income to moderate-income household. Thereafter, the department must award grants based upon the amount of energy efficiency, electric vehicle charging capacity, or solar panels installation that will occur, with grants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
      <w:pPr>
        <w:jc w:val="center"/>
      </w:pPr>
      <w:r>
        <w:rPr>
          <w:b/>
        </w:rPr>
        <w:t>--- END ---</w:t>
      </w:r>
    </w:p>
    <w:sectPr>
      <w:pgNumType w:start="1"/>
      <w:footerReference xmlns:r="http://schemas.openxmlformats.org/officeDocument/2006/relationships" r:id="R91a93fa0dd1e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052309115472b" /><Relationship Type="http://schemas.openxmlformats.org/officeDocument/2006/relationships/footer" Target="/word/footer1.xml" Id="R91a93fa0dd1e47d3" /></Relationships>
</file>