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34208ac72448ce" /></Relationships>
</file>

<file path=word/document.xml><?xml version="1.0" encoding="utf-8"?>
<w:document xmlns:w="http://schemas.openxmlformats.org/wordprocessingml/2006/main">
  <w:body>
    <w:p>
      <w:r>
        <w:t>H-2185.1</w:t>
      </w:r>
    </w:p>
    <w:p>
      <w:pPr>
        <w:jc w:val="center"/>
      </w:pPr>
      <w:r>
        <w:t>_______________________________________________</w:t>
      </w:r>
    </w:p>
    <w:p/>
    <w:p>
      <w:pPr>
        <w:jc w:val="center"/>
      </w:pPr>
      <w:r>
        <w:rPr>
          <w:b/>
        </w:rPr>
        <w:t>HOUSE BILL 1963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Ramos, Fitzgibbon, Ryu, Berry, Duerr, Reed, Callan, Donaghy, and Hackney</w:t>
      </w:r>
    </w:p>
    <w:p/>
    <w:p>
      <w:r>
        <w:rPr>
          <w:t xml:space="preserve">Prefiled 12/18/23.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license plate covers; amending RCW 46.16A.200; and adding a new section to chapter 46.16A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2022 c 130 s 1 are each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w:t>
      </w:r>
      <w:r>
        <w:t>((</w:t>
      </w:r>
      <w:r>
        <w:rPr>
          <w:strike/>
        </w:rPr>
        <w:t xml:space="preserve">Kept</w:t>
      </w:r>
      <w:r>
        <w:t>))</w:t>
      </w:r>
      <w:r>
        <w:rPr/>
        <w:t xml:space="preserve"> </w:t>
      </w:r>
      <w:r>
        <w:rPr>
          <w:u w:val="single"/>
        </w:rPr>
        <w:t xml:space="preserve">Except as provided in subsection (7)(c)(ii) of this section, kept</w:t>
      </w:r>
      <w:r>
        <w:rPr/>
        <w:t xml:space="preserve"> clean and </w:t>
      </w:r>
      <w:r>
        <w:rPr>
          <w:u w:val="single"/>
        </w:rPr>
        <w:t xml:space="preserve">uncovered and</w:t>
      </w:r>
      <w:r>
        <w:rPr/>
        <w:t xml:space="preserve"> be able to be plainly seen and read at all times unless an exception in (b) of this subsection applies;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(b)(i)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(ii) If the applicable requirements of (b)(iii) of this subsection are met, the display of a single license plate properly attached to a vehicle that has two license plates properly attached in accordance with (a)(i) of this subsection may be temporarily obstructed by one or more of the following devices or by the cargo the device is carrying:</w:t>
      </w:r>
    </w:p>
    <w:p>
      <w:pPr>
        <w:spacing w:before="0" w:after="0" w:line="408" w:lineRule="exact"/>
        <w:ind w:left="0" w:right="0" w:firstLine="576"/>
        <w:jc w:val="left"/>
      </w:pPr>
      <w:r>
        <w:rPr/>
        <w:t xml:space="preserve">(A) A trailer hitch;</w:t>
      </w:r>
    </w:p>
    <w:p>
      <w:pPr>
        <w:spacing w:before="0" w:after="0" w:line="408" w:lineRule="exact"/>
        <w:ind w:left="0" w:right="0" w:firstLine="576"/>
        <w:jc w:val="left"/>
      </w:pPr>
      <w:r>
        <w:rPr/>
        <w:t xml:space="preserve">(B) A wheelchair lift or wheelchair carrier;</w:t>
      </w:r>
    </w:p>
    <w:p>
      <w:pPr>
        <w:spacing w:before="0" w:after="0" w:line="408" w:lineRule="exact"/>
        <w:ind w:left="0" w:right="0" w:firstLine="576"/>
        <w:jc w:val="left"/>
      </w:pPr>
      <w:r>
        <w:rPr/>
        <w:t xml:space="preserve">(C) A trailer being towed by the vehicle, provided the trailer meets any applicable trailer license plate requirements under this chapter; or</w:t>
      </w:r>
    </w:p>
    <w:p>
      <w:pPr>
        <w:spacing w:before="0" w:after="0" w:line="408" w:lineRule="exact"/>
        <w:ind w:left="0" w:right="0" w:firstLine="576"/>
        <w:jc w:val="left"/>
      </w:pPr>
      <w:r>
        <w:rPr/>
        <w:t xml:space="preserve">(D) A bicycle rack, ski rack, or luggage rack.</w:t>
      </w:r>
    </w:p>
    <w:p>
      <w:pPr>
        <w:spacing w:before="0" w:after="0" w:line="408" w:lineRule="exact"/>
        <w:ind w:left="0" w:right="0" w:firstLine="576"/>
        <w:jc w:val="left"/>
      </w:pPr>
      <w:r>
        <w:rPr/>
        <w:t xml:space="preserve">(iii) The obstruction of a single license plate under (b)(ii) or (b)(iv) of this subsection is only authorized if the following requirements are met:</w:t>
      </w:r>
    </w:p>
    <w:p>
      <w:pPr>
        <w:spacing w:before="0" w:after="0" w:line="408" w:lineRule="exact"/>
        <w:ind w:left="0" w:right="0" w:firstLine="576"/>
        <w:jc w:val="left"/>
      </w:pPr>
      <w:r>
        <w:rPr/>
        <w:t xml:space="preserve">(A) The device is installed according to manufacturer specifications or generally accepted installation practices; and</w:t>
      </w:r>
    </w:p>
    <w:p>
      <w:pPr>
        <w:spacing w:before="0" w:after="0" w:line="408" w:lineRule="exact"/>
        <w:ind w:left="0" w:right="0" w:firstLine="576"/>
        <w:jc w:val="left"/>
      </w:pPr>
      <w:r>
        <w:rPr/>
        <w:t xml:space="preserve">(B) The device or cargo the device is carrying does not prevent the license plate from being read from one or more accessible viewing angles when the vehicle is parked, except if the device is a trailer that meets the trailer license plate requirements under this chapter.</w:t>
      </w:r>
    </w:p>
    <w:p>
      <w:pPr>
        <w:spacing w:before="0" w:after="0" w:line="408" w:lineRule="exact"/>
        <w:ind w:left="0" w:right="0" w:firstLine="576"/>
        <w:jc w:val="left"/>
      </w:pPr>
      <w:r>
        <w:rPr/>
        <w:t xml:space="preserve">(iv) If the applicable requirements of (b)(iii) of this subsection are met, the display of a single license plate attached to a trailer in accordance with (a)(ii) of this subsection and meeting any applicable trailer license plate requirements under this chapter may be obstructed by a device for transporting a forklift used for product delivery purposes. For purposes of license plate visibility, the single trailer license plate obstructed by a device for carrying a forklift may be relocated on the trailer or the towing vehicle to a position that is more than four feet from the ground.</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w:t>
      </w:r>
      <w:r>
        <w:t>((</w:t>
      </w:r>
      <w:r>
        <w:rPr>
          <w:strike/>
        </w:rPr>
        <w:t xml:space="preserve">Use</w:t>
      </w:r>
      <w:r>
        <w:t>))</w:t>
      </w:r>
      <w:r>
        <w:rPr/>
        <w:t xml:space="preserve"> </w:t>
      </w:r>
      <w:r>
        <w:rPr>
          <w:u w:val="single"/>
        </w:rPr>
        <w:t xml:space="preserve">(i) Except as provided in (c)(ii) of this subsection, use license plate</w:t>
      </w:r>
      <w:r>
        <w:rPr/>
        <w:t xml:space="preserve"> holders, frames, </w:t>
      </w:r>
      <w:r>
        <w:rPr>
          <w:u w:val="single"/>
        </w:rPr>
        <w:t xml:space="preserve">covers,</w:t>
      </w:r>
      <w:r>
        <w:rPr/>
        <w:t xml:space="preserve"> or other materials that </w:t>
      </w:r>
      <w:r>
        <w:rPr>
          <w:u w:val="single"/>
        </w:rPr>
        <w:t xml:space="preserve">conceal, obstruct, distort,</w:t>
      </w:r>
      <w:r>
        <w:rPr/>
        <w:t xml:space="preserve"> change, alter, or make a license plate or plates illegible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w:t>
      </w:r>
      <w:r>
        <w:rPr/>
        <w:t xml:space="preserv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w:t>
      </w:r>
      <w:r>
        <w:t>((</w:t>
      </w:r>
      <w:r>
        <w:rPr>
          <w:strike/>
        </w:rPr>
        <w:t xml:space="preserve">five hundred dollars</w:t>
      </w:r>
      <w:r>
        <w:t>))</w:t>
      </w:r>
      <w:r>
        <w:rPr/>
        <w:t xml:space="preserve"> </w:t>
      </w:r>
      <w:r>
        <w:rPr>
          <w:u w:val="single"/>
        </w:rPr>
        <w:t xml:space="preserve">$500</w:t>
      </w:r>
      <w:r>
        <w:rPr/>
        <w:t xml:space="preserve">.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lienholder to the certificate of title or removing a lienholder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w:t>
      </w:r>
      <w:r>
        <w:t>((</w:t>
      </w:r>
      <w:r>
        <w:rPr>
          <w:strike/>
        </w:rPr>
        <w:t xml:space="preserve">twenty-six thousand</w:t>
      </w:r>
      <w:r>
        <w:t>))</w:t>
      </w:r>
      <w:r>
        <w:rPr/>
        <w:t xml:space="preserve"> </w:t>
      </w:r>
      <w:r>
        <w:rPr>
          <w:u w:val="single"/>
        </w:rPr>
        <w:t xml:space="preserve">26,000</w:t>
      </w:r>
      <w:r>
        <w:rPr/>
        <w:t xml:space="preserve">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Until January 1, 2025, the penalty for a violation of RCW 46.16A.200(7)(c), relating to the use of license plate covers that make a license plate illegible, may only be a written warning. The warning must include information about the requirements of the law and the applicable penalty beginning January 1, 2025.</w:t>
      </w:r>
    </w:p>
    <w:p/>
    <w:p>
      <w:pPr>
        <w:jc w:val="center"/>
      </w:pPr>
      <w:r>
        <w:rPr>
          <w:b/>
        </w:rPr>
        <w:t>--- END ---</w:t>
      </w:r>
    </w:p>
    <w:sectPr>
      <w:pgNumType w:start="1"/>
      <w:footerReference xmlns:r="http://schemas.openxmlformats.org/officeDocument/2006/relationships" r:id="Rccc3f0822a5a48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c5cc3ea584702" /><Relationship Type="http://schemas.openxmlformats.org/officeDocument/2006/relationships/footer" Target="/word/footer1.xml" Id="Rccc3f0822a5a48f6" /></Relationships>
</file>