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92c018b3a4bee" /></Relationships>
</file>

<file path=word/document.xml><?xml version="1.0" encoding="utf-8"?>
<w:document xmlns:w="http://schemas.openxmlformats.org/wordprocessingml/2006/main">
  <w:body>
    <w:p>
      <w:r>
        <w:t>H-2235.1</w:t>
      </w:r>
    </w:p>
    <w:p>
      <w:pPr>
        <w:jc w:val="center"/>
      </w:pPr>
      <w:r>
        <w:t>_______________________________________________</w:t>
      </w:r>
    </w:p>
    <w:p/>
    <w:p>
      <w:pPr>
        <w:jc w:val="center"/>
      </w:pPr>
      <w:r>
        <w:rPr>
          <w:b/>
        </w:rPr>
        <w:t>HOUSE BILL 1982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Shavers, Ryu, Couture, Ramos, McClintock, Callan, Cheney, Doglio, Sandlin, Paul, Harris, Berg, Tharinger, Riccelli, and Santos</w:t>
      </w:r>
    </w:p>
    <w:p/>
    <w:p>
      <w:r>
        <w:rPr>
          <w:t xml:space="preserve">Prefiled 12/19/23.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amending RCW 43.160.020;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open-access broadband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w:t>
      </w:r>
      <w:r>
        <w:rPr>
          <w:u w:val="single"/>
        </w:rPr>
        <w:t xml:space="preserve">"Broadband" means a network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(3)</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board is authorized to make rural broadband loans and grants to local governments and to federally recognized Indian tribes for the purposes of financing the cost to build infrastructure to provide high-speed, open-access broadband service, to rural and underserved communities, for the purpose of economic or community development.</w:t>
      </w:r>
    </w:p>
    <w:p>
      <w:pPr>
        <w:spacing w:before="0" w:after="0" w:line="408" w:lineRule="exact"/>
        <w:ind w:left="0" w:right="0" w:firstLine="576"/>
        <w:jc w:val="left"/>
      </w:pPr>
      <w:r>
        <w:rPr/>
        <w:t xml:space="preserve">(2) Applications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 or</w:t>
      </w:r>
    </w:p>
    <w:p>
      <w:pPr>
        <w:spacing w:before="0" w:after="0" w:line="408" w:lineRule="exact"/>
        <w:ind w:left="0" w:right="0" w:firstLine="576"/>
        <w:jc w:val="left"/>
      </w:pPr>
      <w:r>
        <w:rPr/>
        <w:t xml:space="preserve">(ii) For the deployment of publicly owned telecommunications network infrastructure (commonly referred to as "backbone") solely for the sake of creating competitive, publicly owned telecommunications network infrastructure.</w:t>
      </w:r>
    </w:p>
    <w:p>
      <w:pPr>
        <w:spacing w:before="0" w:after="0" w:line="408" w:lineRule="exact"/>
        <w:ind w:left="0" w:right="0" w:firstLine="576"/>
        <w:jc w:val="left"/>
      </w:pPr>
      <w:r>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the local education system, health care system, public safety system, industries and businesses, governmental operations, and citizens.</w:t>
      </w:r>
    </w:p>
    <w:p>
      <w:pPr>
        <w:spacing w:before="0" w:after="0" w:line="408" w:lineRule="exact"/>
        <w:ind w:left="0" w:right="0" w:firstLine="576"/>
        <w:jc w:val="left"/>
      </w:pPr>
      <w:r>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Commitment of local matching resources and local participation;</w:t>
      </w:r>
    </w:p>
    <w:p>
      <w:pPr>
        <w:spacing w:before="0" w:after="0" w:line="408" w:lineRule="exact"/>
        <w:ind w:left="0" w:right="0" w:firstLine="576"/>
        <w:jc w:val="left"/>
      </w:pPr>
      <w:r>
        <w:rPr/>
        <w:t xml:space="preserve">(iv) The project's use of a technology-neutral approach in order to expand access at the lowest cost;</w:t>
      </w:r>
    </w:p>
    <w:p>
      <w:pPr>
        <w:spacing w:before="0" w:after="0" w:line="408" w:lineRule="exact"/>
        <w:ind w:left="0" w:right="0" w:firstLine="576"/>
        <w:jc w:val="left"/>
      </w:pPr>
      <w:r>
        <w:rPr/>
        <w:t xml:space="preserve">(v)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(vi) The project's readiness to proceed.</w:t>
      </w:r>
    </w:p>
    <w:p>
      <w:pPr>
        <w:spacing w:before="0" w:after="0" w:line="408" w:lineRule="exact"/>
        <w:ind w:left="0" w:right="0" w:firstLine="576"/>
        <w:jc w:val="left"/>
      </w:pPr>
      <w:r>
        <w:rPr/>
        <w:t xml:space="preserve">(3)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
      <w:pPr>
        <w:jc w:val="center"/>
      </w:pPr>
      <w:r>
        <w:rPr>
          <w:b/>
        </w:rPr>
        <w:t>--- END ---</w:t>
      </w:r>
    </w:p>
    <w:sectPr>
      <w:pgNumType w:start="1"/>
      <w:footerReference xmlns:r="http://schemas.openxmlformats.org/officeDocument/2006/relationships" r:id="R26c4d6a1cd6e44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59d3b592e4d8c" /><Relationship Type="http://schemas.openxmlformats.org/officeDocument/2006/relationships/footer" Target="/word/footer1.xml" Id="R26c4d6a1cd6e44f4" /></Relationships>
</file>