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8af2d4012f4f10" /></Relationships>
</file>

<file path=word/document.xml><?xml version="1.0" encoding="utf-8"?>
<w:document xmlns:w="http://schemas.openxmlformats.org/wordprocessingml/2006/main">
  <w:body>
    <w:p>
      <w:r>
        <w:t>H-3128.1</w:t>
      </w:r>
    </w:p>
    <w:p>
      <w:pPr>
        <w:jc w:val="center"/>
      </w:pPr>
      <w:r>
        <w:t>_______________________________________________</w:t>
      </w:r>
    </w:p>
    <w:p/>
    <w:p>
      <w:pPr>
        <w:jc w:val="center"/>
      </w:pPr>
      <w:r>
        <w:rPr>
          <w:b/>
        </w:rPr>
        <w:t>SUBSTITUTE HOUSE BILL 2007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Peterson, Gregerson, Alvarado, Berry, Senn, Morgan, Leavitt, Reed, Ormsby, Kloba, Macri, Doglio, Bergquist, Goodman, Ortiz-Self, Santos, and Hackney)</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time limit exemptions applicable to cash assistance programs; amending RCW 74.08A.010;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2023 c 418 s 3 are each amended to read as follows:</w:t>
      </w:r>
    </w:p>
    <w:p>
      <w:pPr>
        <w:spacing w:before="0" w:after="0" w:line="408" w:lineRule="exact"/>
        <w:ind w:left="0" w:right="0" w:firstLine="576"/>
        <w:jc w:val="left"/>
      </w:pPr>
      <w:r>
        <w:rPr/>
        <w:t xml:space="preserve">(1) A family that includes an adult who has received temporary assistance for needy families for 60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rPr/>
        <w:t xml:space="preserve">(4)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rPr/>
        <w:t xml:space="preserve">(a) By reason of hardship, including when:</w:t>
      </w:r>
    </w:p>
    <w:p>
      <w:pPr>
        <w:spacing w:before="0" w:after="0" w:line="408" w:lineRule="exact"/>
        <w:ind w:left="0" w:right="0" w:firstLine="576"/>
        <w:jc w:val="left"/>
      </w:pPr>
      <w:r>
        <w:rPr/>
        <w:t xml:space="preserve">(i) The recipient's family includes a child or youth who is without a fixed, regular, and adequate nighttime residence as described in the federal McKinney-Vento homeless assistance act (Title 42 U.S.C., chapter 119, subchapter VI, part B) as it existed on January 1, 2020;</w:t>
      </w:r>
    </w:p>
    <w:p>
      <w:pPr>
        <w:spacing w:before="0" w:after="0" w:line="408" w:lineRule="exact"/>
        <w:ind w:left="0" w:right="0" w:firstLine="576"/>
        <w:jc w:val="left"/>
      </w:pPr>
      <w:r>
        <w:rPr/>
        <w:t xml:space="preserve">(ii) The recipient received temporary assistance for needy families during a month on or after March 1, 2020, when Washington state's unemployment rate as published by the Washington employment security department was equal to or greater than seven percent, and the recipient is otherwise eligible for temporary assistance for needy families except that they have exceeded 60 months. The extension provided for under this subsection (4)(a)(ii) is equal to the number of months that the recipient received temporary assistance for needy families during a month on or after March 1, 2020, when the unemployment rate was equal to or greater than seven percent, and is applied sequentially to any other hardship extensions that may apply under this subsection (4) or in rule; </w:t>
      </w:r>
      <w:r>
        <w:t>((</w:t>
      </w:r>
      <w:r>
        <w:rPr>
          <w:strike/>
        </w:rPr>
        <w:t xml:space="preserve">or</w:t>
      </w:r>
      <w:r>
        <w:t>))</w:t>
      </w:r>
    </w:p>
    <w:p>
      <w:pPr>
        <w:spacing w:before="0" w:after="0" w:line="408" w:lineRule="exact"/>
        <w:ind w:left="0" w:right="0" w:firstLine="576"/>
        <w:jc w:val="left"/>
      </w:pPr>
      <w:r>
        <w:rPr/>
        <w:t xml:space="preserve">(iii) Beginning July 1, 2022, the Washington state unemployment rate most recently published by the Washington employment security department is equal to or greater than seven percent</w:t>
      </w:r>
      <w:r>
        <w:rPr>
          <w:u w:val="single"/>
        </w:rPr>
        <w:t xml:space="preserve">; or</w:t>
      </w:r>
    </w:p>
    <w:p>
      <w:pPr>
        <w:spacing w:before="0" w:after="0" w:line="408" w:lineRule="exact"/>
        <w:ind w:left="0" w:right="0" w:firstLine="576"/>
        <w:jc w:val="left"/>
      </w:pPr>
      <w:r>
        <w:rPr>
          <w:u w:val="single"/>
        </w:rPr>
        <w:t xml:space="preserve">(iv) The recipient qualifies for an exemption from WorkFirst activities, as defined by the department in rule</w:t>
      </w:r>
      <w:r>
        <w:rPr/>
        <w:t xml:space="preserve">; or</w:t>
      </w:r>
    </w:p>
    <w:p>
      <w:pPr>
        <w:spacing w:before="0" w:after="0" w:line="408" w:lineRule="exact"/>
        <w:ind w:left="0" w:right="0" w:firstLine="576"/>
        <w:jc w:val="left"/>
      </w:pPr>
      <w:r>
        <w:rPr/>
        <w:t xml:space="preserve">(b)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rPr/>
        <w:t xml:space="preserve">(5) The department shall not exempt a recipient and his or her family from the application of subsection (1) of this section until after the recipient has received 52 months of assistance under this chapter.</w:t>
      </w:r>
    </w:p>
    <w:p>
      <w:pPr>
        <w:spacing w:before="0" w:after="0" w:line="408" w:lineRule="exact"/>
        <w:ind w:left="0" w:right="0" w:firstLine="576"/>
        <w:jc w:val="left"/>
      </w:pPr>
      <w:r>
        <w:rPr/>
        <w:t xml:space="preserve">(6) The department shall provide transitional food assistance for a period of five months to a household that ceases to receive temporary assistance for needy families assistance and is not in full-family sanction status. If a member of a household has been sanctioned but the household is still receiving benefits, the remaining eligible household members may receive transitional food assistance. If necessary, the department shall extend the household's basic food certification until the end of the transition period.</w:t>
      </w:r>
    </w:p>
    <w:p>
      <w:pPr>
        <w:spacing w:before="0" w:after="0" w:line="408" w:lineRule="exact"/>
        <w:ind w:left="0" w:right="0" w:firstLine="576"/>
        <w:jc w:val="left"/>
      </w:pPr>
      <w:r>
        <w:rPr/>
        <w:t xml:space="preserve">(7) The department may adopt rules specifying which published employment security department unemployment rates to use for the purposes of subsection (4)(a)(ii) and (iii)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c66e4cebb58d48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0538ec376b4790" /><Relationship Type="http://schemas.openxmlformats.org/officeDocument/2006/relationships/footer" Target="/word/footer1.xml" Id="Rc66e4cebb58d48a3" /></Relationships>
</file>