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eea8d950b64c15" /></Relationships>
</file>

<file path=word/document.xml><?xml version="1.0" encoding="utf-8"?>
<w:document xmlns:w="http://schemas.openxmlformats.org/wordprocessingml/2006/main">
  <w:body>
    <w:p>
      <w:r>
        <w:t>H-2624.1</w:t>
      </w:r>
    </w:p>
    <w:p>
      <w:pPr>
        <w:jc w:val="center"/>
      </w:pPr>
      <w:r>
        <w:t>_______________________________________________</w:t>
      </w:r>
    </w:p>
    <w:p/>
    <w:p>
      <w:pPr>
        <w:jc w:val="center"/>
      </w:pPr>
      <w:r>
        <w:rPr>
          <w:b/>
        </w:rPr>
        <w:t>SUBSTITUTE HOUSE BILL 2008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Housing (originally sponsored by Representatives Klicker, Peterson, Leavitt, Connors, Ramel, Robertson, Low, Gregerson, Ramos, Eslick, Bateman, Bronoske, Barkis, Barnard, Graham, Callan, Timmons, Macri, Hutchins, Lekanoff, Paul, Nance, Riccelli, and Santos)</w:t>
      </w:r>
    </w:p>
    <w:p/>
    <w:p>
      <w:r>
        <w:rPr>
          <w:t xml:space="preserve">READ FIRST TIME 01/16/24.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housing cost driver analysis;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housing cost driver analysis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the following members:</w:t>
      </w:r>
    </w:p>
    <w:p>
      <w:pPr>
        <w:spacing w:before="0" w:after="0" w:line="408" w:lineRule="exact"/>
        <w:ind w:left="0" w:right="0" w:firstLine="576"/>
        <w:jc w:val="left"/>
      </w:pPr>
      <w:r>
        <w:rPr/>
        <w:t xml:space="preserve">(A) Two economists with expertise in the economic disciplines most relevant to the issue of housing cost drivers;</w:t>
      </w:r>
    </w:p>
    <w:p>
      <w:pPr>
        <w:spacing w:before="0" w:after="0" w:line="408" w:lineRule="exact"/>
        <w:ind w:left="0" w:right="0" w:firstLine="576"/>
        <w:jc w:val="left"/>
      </w:pPr>
      <w:r>
        <w:rPr/>
        <w:t xml:space="preserve">(B) One member representing nonprofit housing developers;</w:t>
      </w:r>
    </w:p>
    <w:p>
      <w:pPr>
        <w:spacing w:before="0" w:after="0" w:line="408" w:lineRule="exact"/>
        <w:ind w:left="0" w:right="0" w:firstLine="576"/>
        <w:jc w:val="left"/>
      </w:pPr>
      <w:r>
        <w:rPr/>
        <w:t xml:space="preserve">(C) One member representing for-profit housing developers;</w:t>
      </w:r>
    </w:p>
    <w:p>
      <w:pPr>
        <w:spacing w:before="0" w:after="0" w:line="408" w:lineRule="exact"/>
        <w:ind w:left="0" w:right="0" w:firstLine="576"/>
        <w:jc w:val="left"/>
      </w:pPr>
      <w:r>
        <w:rPr/>
        <w:t xml:space="preserve">(D) One member representing builders;</w:t>
      </w:r>
    </w:p>
    <w:p>
      <w:pPr>
        <w:spacing w:before="0" w:after="0" w:line="408" w:lineRule="exact"/>
        <w:ind w:left="0" w:right="0" w:firstLine="576"/>
        <w:jc w:val="left"/>
      </w:pPr>
      <w:r>
        <w:rPr/>
        <w:t xml:space="preserve">(E) One member representing labor;</w:t>
      </w:r>
    </w:p>
    <w:p>
      <w:pPr>
        <w:spacing w:before="0" w:after="0" w:line="408" w:lineRule="exact"/>
        <w:ind w:left="0" w:right="0" w:firstLine="576"/>
        <w:jc w:val="left"/>
      </w:pPr>
      <w:r>
        <w:rPr/>
        <w:t xml:space="preserve">(F) One member representing realtors;</w:t>
      </w:r>
    </w:p>
    <w:p>
      <w:pPr>
        <w:spacing w:before="0" w:after="0" w:line="408" w:lineRule="exact"/>
        <w:ind w:left="0" w:right="0" w:firstLine="576"/>
        <w:jc w:val="left"/>
      </w:pPr>
      <w:r>
        <w:rPr/>
        <w:t xml:space="preserve">(G) One member representing cities;</w:t>
      </w:r>
    </w:p>
    <w:p>
      <w:pPr>
        <w:spacing w:before="0" w:after="0" w:line="408" w:lineRule="exact"/>
        <w:ind w:left="0" w:right="0" w:firstLine="576"/>
        <w:jc w:val="left"/>
      </w:pPr>
      <w:r>
        <w:rPr/>
        <w:t xml:space="preserve">(H) One member representing counties;</w:t>
      </w:r>
    </w:p>
    <w:p>
      <w:pPr>
        <w:spacing w:before="0" w:after="0" w:line="408" w:lineRule="exact"/>
        <w:ind w:left="0" w:right="0" w:firstLine="576"/>
        <w:jc w:val="left"/>
      </w:pPr>
      <w:r>
        <w:rPr/>
        <w:t xml:space="preserve">(I) One member representing tenants;</w:t>
      </w:r>
    </w:p>
    <w:p>
      <w:pPr>
        <w:spacing w:before="0" w:after="0" w:line="408" w:lineRule="exact"/>
        <w:ind w:left="0" w:right="0" w:firstLine="576"/>
        <w:jc w:val="left"/>
      </w:pPr>
      <w:r>
        <w:rPr/>
        <w:t xml:space="preserve">(J) One member representing landlords;</w:t>
      </w:r>
    </w:p>
    <w:p>
      <w:pPr>
        <w:spacing w:before="0" w:after="0" w:line="408" w:lineRule="exact"/>
        <w:ind w:left="0" w:right="0" w:firstLine="576"/>
        <w:jc w:val="left"/>
      </w:pPr>
      <w:r>
        <w:rPr/>
        <w:t xml:space="preserve">(K) One member representing home mortgage lenders;</w:t>
      </w:r>
    </w:p>
    <w:p>
      <w:pPr>
        <w:spacing w:before="0" w:after="0" w:line="408" w:lineRule="exact"/>
        <w:ind w:left="0" w:right="0" w:firstLine="576"/>
        <w:jc w:val="left"/>
      </w:pPr>
      <w:r>
        <w:rPr/>
        <w:t xml:space="preserve">(L) One member representing multifamily lenders;</w:t>
      </w:r>
    </w:p>
    <w:p>
      <w:pPr>
        <w:spacing w:before="0" w:after="0" w:line="408" w:lineRule="exact"/>
        <w:ind w:left="0" w:right="0" w:firstLine="576"/>
        <w:jc w:val="left"/>
      </w:pPr>
      <w:r>
        <w:rPr/>
        <w:t xml:space="preserve">(M) One member representing utility providers;</w:t>
      </w:r>
    </w:p>
    <w:p>
      <w:pPr>
        <w:spacing w:before="0" w:after="0" w:line="408" w:lineRule="exact"/>
        <w:ind w:left="0" w:right="0" w:firstLine="576"/>
        <w:jc w:val="left"/>
      </w:pPr>
      <w:r>
        <w:rPr/>
        <w:t xml:space="preserve">(N) One member representing public housing authorities;</w:t>
      </w:r>
    </w:p>
    <w:p>
      <w:pPr>
        <w:spacing w:before="0" w:after="0" w:line="408" w:lineRule="exact"/>
        <w:ind w:left="0" w:right="0" w:firstLine="576"/>
        <w:jc w:val="left"/>
      </w:pPr>
      <w:r>
        <w:rPr/>
        <w:t xml:space="preserve">(O) One member representing the Washington state housing finance commission;</w:t>
      </w:r>
    </w:p>
    <w:p>
      <w:pPr>
        <w:spacing w:before="0" w:after="0" w:line="408" w:lineRule="exact"/>
        <w:ind w:left="0" w:right="0" w:firstLine="576"/>
        <w:jc w:val="left"/>
      </w:pPr>
      <w:r>
        <w:rPr/>
        <w:t xml:space="preserve">(P) One member from a statewide association representing business; and</w:t>
      </w:r>
    </w:p>
    <w:p>
      <w:pPr>
        <w:spacing w:before="0" w:after="0" w:line="408" w:lineRule="exact"/>
        <w:ind w:left="0" w:right="0" w:firstLine="576"/>
        <w:jc w:val="left"/>
      </w:pPr>
      <w:r>
        <w:rPr/>
        <w:t xml:space="preserve">(Q) One member from an organization representing architects.</w:t>
      </w:r>
    </w:p>
    <w:p>
      <w:pPr>
        <w:spacing w:before="0" w:after="0" w:line="408" w:lineRule="exact"/>
        <w:ind w:left="0" w:right="0" w:firstLine="576"/>
        <w:jc w:val="left"/>
      </w:pPr>
      <w:r>
        <w:rPr/>
        <w:t xml:space="preserve">(b) The task force shall choose its cochairs from among its legislative membership. The legislative membership shall convene the initial meeting of the task force.</w:t>
      </w:r>
    </w:p>
    <w:p>
      <w:pPr>
        <w:spacing w:before="0" w:after="0" w:line="408" w:lineRule="exact"/>
        <w:ind w:left="0" w:right="0" w:firstLine="576"/>
        <w:jc w:val="left"/>
      </w:pPr>
      <w:r>
        <w:rPr/>
        <w:t xml:space="preserve">(2) The task force shall research, analyze, and determine the primary cost drivers for housing in Washington state.</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The task force, in completing the duties prescribed by this section, shall solicit and consider information and perspectives provided by the affordable housing advisory board and persons and entities with relevant interest and expertise.</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task force shall report its findings and recommendations to the appropriate committees of the legislature by December 1, 2025.</w:t>
      </w:r>
    </w:p>
    <w:p>
      <w:pPr>
        <w:spacing w:before="0" w:after="0" w:line="408" w:lineRule="exact"/>
        <w:ind w:left="0" w:right="0" w:firstLine="576"/>
        <w:jc w:val="left"/>
      </w:pPr>
      <w:r>
        <w:rPr/>
        <w:t xml:space="preserve">(8) This section expires June 1, 2026.</w:t>
      </w:r>
    </w:p>
    <w:p/>
    <w:p>
      <w:pPr>
        <w:jc w:val="center"/>
      </w:pPr>
      <w:r>
        <w:rPr>
          <w:b/>
        </w:rPr>
        <w:t>--- END ---</w:t>
      </w:r>
    </w:p>
    <w:sectPr>
      <w:pgNumType w:start="1"/>
      <w:footerReference xmlns:r="http://schemas.openxmlformats.org/officeDocument/2006/relationships" r:id="R2ad0242e96bc43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487650a5534a49" /><Relationship Type="http://schemas.openxmlformats.org/officeDocument/2006/relationships/footer" Target="/word/footer1.xml" Id="R2ad0242e96bc43d4" /></Relationships>
</file>