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ec23629dd4030" /></Relationships>
</file>

<file path=word/document.xml><?xml version="1.0" encoding="utf-8"?>
<w:document xmlns:w="http://schemas.openxmlformats.org/wordprocessingml/2006/main">
  <w:body>
    <w:p>
      <w:r>
        <w:t>H-2311.1</w:t>
      </w:r>
    </w:p>
    <w:p>
      <w:pPr>
        <w:jc w:val="center"/>
      </w:pPr>
      <w:r>
        <w:t>_______________________________________________</w:t>
      </w:r>
    </w:p>
    <w:p/>
    <w:p>
      <w:pPr>
        <w:jc w:val="center"/>
      </w:pPr>
      <w:r>
        <w:rPr>
          <w:b/>
        </w:rPr>
        <w:t>HOUSE BILL 2026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Doglio, Bateman, Ryu, Ramel, Reed, and Kloba</w:t>
      </w:r>
    </w:p>
    <w:p/>
    <w:p>
      <w:r>
        <w:rPr>
          <w:t xml:space="preserve">Prefiled 12/22/23.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income received by people eligible for certain property tax exemption programs;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2023 c 147 s 2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w:t>
      </w:r>
      <w:r>
        <w:rPr>
          <w:u w:val="single"/>
        </w:rPr>
        <w:t xml:space="preserve">or received</w:t>
      </w:r>
      <w:r>
        <w:rPr/>
        <w:t xml:space="preserve">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w:t>
      </w:r>
      <w:r>
        <w:t>((</w:t>
      </w:r>
      <w:r>
        <w:rPr>
          <w:strike/>
        </w:rPr>
        <w:t xml:space="preserve">and</w:t>
      </w:r>
      <w:r>
        <w:t>))</w:t>
      </w:r>
    </w:p>
    <w:p>
      <w:pPr>
        <w:spacing w:before="0" w:after="0" w:line="408" w:lineRule="exact"/>
        <w:ind w:left="0" w:right="0" w:firstLine="576"/>
        <w:jc w:val="left"/>
      </w:pPr>
      <w:r>
        <w:rPr/>
        <w:t xml:space="preserve">(m) Disposable devices used to deliver drugs for human use as defined in RCW 82.08.935</w:t>
      </w:r>
      <w:r>
        <w:rPr>
          <w:u w:val="single"/>
        </w:rPr>
        <w:t xml:space="preserve">; and</w:t>
      </w:r>
    </w:p>
    <w:p>
      <w:pPr>
        <w:spacing w:before="0" w:after="0" w:line="408" w:lineRule="exact"/>
        <w:ind w:left="0" w:right="0" w:firstLine="576"/>
        <w:jc w:val="left"/>
      </w:pPr>
      <w:r>
        <w:rPr>
          <w:u w:val="single"/>
        </w:rPr>
        <w:t xml:space="preserve">(n) Income received from the rental of living space in the person's principal place of residence</w:t>
      </w:r>
      <w:r>
        <w:rPr/>
        <w:t xml:space="preserve">.</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$30,000;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1" for the previous year or 45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$35,000;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2" for the previous year or 55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$40,000;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3" for the previous year or 65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The legislature intends for this tax preference and its expansion to be permanent.</w:t>
      </w:r>
    </w:p>
    <w:p/>
    <w:p>
      <w:pPr>
        <w:jc w:val="center"/>
      </w:pPr>
      <w:r>
        <w:rPr>
          <w:b/>
        </w:rPr>
        <w:t>--- END ---</w:t>
      </w:r>
    </w:p>
    <w:sectPr>
      <w:pgNumType w:start="1"/>
      <w:footerReference xmlns:r="http://schemas.openxmlformats.org/officeDocument/2006/relationships" r:id="Re714223aac8d43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f47c6f97c9455d" /><Relationship Type="http://schemas.openxmlformats.org/officeDocument/2006/relationships/footer" Target="/word/footer1.xml" Id="Re714223aac8d4355" /></Relationships>
</file>