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f68b63a8774547" /></Relationships>
</file>

<file path=word/document.xml><?xml version="1.0" encoding="utf-8"?>
<w:document xmlns:w="http://schemas.openxmlformats.org/wordprocessingml/2006/main">
  <w:body>
    <w:p>
      <w:r>
        <w:t>H-2348.1</w:t>
      </w:r>
    </w:p>
    <w:p>
      <w:pPr>
        <w:jc w:val="center"/>
      </w:pPr>
      <w:r>
        <w:t>_______________________________________________</w:t>
      </w:r>
    </w:p>
    <w:p/>
    <w:p>
      <w:pPr>
        <w:jc w:val="center"/>
      </w:pPr>
      <w:r>
        <w:rPr>
          <w:b/>
        </w:rPr>
        <w:t>HOUSE BILL 2048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Mosbrucker, Goodman, Graham, Doglio, and Davis</w:t>
      </w:r>
    </w:p>
    <w:p/>
    <w:p>
      <w:r>
        <w:rPr>
          <w:t xml:space="preserve">Prefiled 12/27/23.</w:t>
        </w:rPr>
      </w:r>
      <w:r>
        <w:rPr>
          <w:t xml:space="preserve">Read first time 01/08/24.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supervision of domestic violence in criminal sentencing; and amending RCW 9.94A.030, 9.94A.500, 9.94A.501, 9.94A.502, and 9.94A.525.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w:t>
      </w:r>
      <w:r>
        <w:t>((</w:t>
      </w:r>
      <w:r>
        <w:rPr>
          <w:strike/>
        </w:rPr>
        <w:t xml:space="preserve">Assault</w:t>
      </w:r>
      <w:r>
        <w:t>))</w:t>
      </w:r>
      <w:r>
        <w:rPr/>
        <w:t xml:space="preserve"> </w:t>
      </w:r>
      <w:r>
        <w:rPr>
          <w:u w:val="single"/>
        </w:rPr>
        <w:t xml:space="preserve">Domestic violence assault</w:t>
      </w:r>
      <w:r>
        <w:rPr/>
        <w:t xml:space="preserve"> in the fourth degree </w:t>
      </w:r>
      <w:r>
        <w:t>((</w:t>
      </w:r>
      <w:r>
        <w:rPr>
          <w:strike/>
        </w:rPr>
        <w:t xml:space="preserve">where domestic violence is pleaded and proven</w:t>
      </w:r>
      <w:r>
        <w:t>))</w:t>
      </w:r>
      <w:r>
        <w:rPr/>
        <w:t xml:space="preserve">,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24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500</w:t>
      </w:r>
      <w:r>
        <w:rPr/>
        <w:t xml:space="preserve"> and 2019 c 263 s 501 are each amended to read as follows:</w:t>
      </w:r>
    </w:p>
    <w:p>
      <w:pPr>
        <w:spacing w:before="0" w:after="0" w:line="408" w:lineRule="exact"/>
        <w:ind w:left="0" w:right="0" w:firstLine="576"/>
        <w:jc w:val="left"/>
      </w:pPr>
      <w:r>
        <w:rPr/>
        <w:t xml:space="preserve">(1) Before imposing a sentence upon a defendant, the court shall conduct a sentencing hearing. The sentencing hearing shall be held within forty court days following conviction. Upon the motion of either party for good cause shown, or on its own motion, the court may extend the time period for conducting the sentencing hearing.</w:t>
      </w:r>
    </w:p>
    <w:p>
      <w:pPr>
        <w:spacing w:before="0" w:after="0" w:line="408" w:lineRule="exact"/>
        <w:ind w:left="0" w:right="0" w:firstLine="576"/>
        <w:jc w:val="left"/>
      </w:pPr>
      <w:r>
        <w:rPr/>
        <w:t xml:space="preserve">Except in cases where the defendant shall be sentenced to a term of total confinement for life without the possibility of release or, when authorized by RCW 10.95.030 for the crime of aggravated murder in the first degree, sentenced to death, the court may order the department to complete a risk assessment report. If available before sentencing, the report shall be provided to the court.</w:t>
      </w:r>
    </w:p>
    <w:p>
      <w:pPr>
        <w:spacing w:before="0" w:after="0" w:line="408" w:lineRule="exact"/>
        <w:ind w:left="0" w:right="0" w:firstLine="576"/>
        <w:jc w:val="left"/>
      </w:pPr>
      <w:r>
        <w:rPr/>
        <w:t xml:space="preserve">Unless specifically waived by the court, the court shall order the department to complete a chemical dependency screening report before imposing a sentence upon a defendant who has been convicted of a violation of the uniform controlled substances act under chapter 69.50 RCW, a criminal solicitation to commit such a violation under chapter 9A.28 RCW, or any felony where the court finds that the offender has a chemical dependency that has contributed to his or her offense. In addition, the court shall, at the time of plea or conviction, order the department to complete a presentence report before imposing a sentence upon a defendant who has been convicted of a felony sexual offense. The department of corrections shall give priority to presentence investigations for sexual offenders. If the court determines that the defendant may be a mentally ill person as defined in RCW 71.24.025, although the defendant has not established that at the time of the crime he or she lacked the capacity to commit the crime, was incompetent to commit the crime, or was insane at the time of the crime, the court shall order the department to complete a presentence report before imposing a sentence.</w:t>
      </w:r>
    </w:p>
    <w:p>
      <w:pPr>
        <w:spacing w:before="0" w:after="0" w:line="408" w:lineRule="exact"/>
        <w:ind w:left="0" w:right="0" w:firstLine="576"/>
        <w:jc w:val="left"/>
      </w:pPr>
      <w:r>
        <w:rPr/>
        <w:t xml:space="preserve">Unless specifically waived by the court, the court shall order the department to complete a presentence investigation before imposing a drug offender sentencing alternative upon a defendant who has been convicted of a felony </w:t>
      </w:r>
      <w:r>
        <w:rPr>
          <w:u w:val="single"/>
        </w:rPr>
        <w:t xml:space="preserve">domestic violence</w:t>
      </w:r>
      <w:r>
        <w:rPr/>
        <w:t xml:space="preserve"> offense </w:t>
      </w:r>
      <w:r>
        <w:t>((</w:t>
      </w:r>
      <w:r>
        <w:rPr>
          <w:strike/>
        </w:rPr>
        <w:t xml:space="preserve">where domestic violence has been pleaded and proven</w:t>
      </w:r>
      <w:r>
        <w:t>))</w:t>
      </w:r>
      <w:r>
        <w:rPr/>
        <w:t xml:space="preserve">.</w:t>
      </w:r>
    </w:p>
    <w:p>
      <w:pPr>
        <w:spacing w:before="0" w:after="0" w:line="408" w:lineRule="exact"/>
        <w:ind w:left="0" w:right="0" w:firstLine="576"/>
        <w:jc w:val="left"/>
      </w:pPr>
      <w:r>
        <w:rPr/>
        <w:t xml:space="preserve">The court shall consider the risk assessment report and presentence reports, if any, including any victim impact statement and criminal history, and allow arguments from the prosecutor, the defense counsel, the offender, the victim, the survivor of the victim, or a representative of the victim or survivor, and an investigative law enforcement officer as to the sentence to be imposed.</w:t>
      </w:r>
    </w:p>
    <w:p>
      <w:pPr>
        <w:spacing w:before="0" w:after="0" w:line="408" w:lineRule="exact"/>
        <w:ind w:left="0" w:right="0" w:firstLine="576"/>
        <w:jc w:val="left"/>
      </w:pPr>
      <w:r>
        <w:rPr/>
        <w:t xml:space="preserve">A criminal history summary relating to the defendant from the prosecuting authority or from a state, federal, or foreign governmental agency shall be prima facie evidence of the existence and validity of the convictions listed therein. If the court is satisfied by a preponderance of the evidence that the defendant has a criminal history, the court shall specify the convictions it has found to exist. All of this information shall be part of the record. Copies of all risk assessment reports and presentence reports presented to the sentencing court and all written findings of facts and conclusions of law as to sentencing entered by the court shall be sent to the department by the clerk of the court at the conclusion of the sentencing and shall accompany the offender if the offender is committed to the custody of the department. Court clerks shall provide, without charge, certified copies of documents relating to criminal convictions requested by prosecuting attorneys.</w:t>
      </w:r>
    </w:p>
    <w:p>
      <w:pPr>
        <w:spacing w:before="0" w:after="0" w:line="408" w:lineRule="exact"/>
        <w:ind w:left="0" w:right="0" w:firstLine="576"/>
        <w:jc w:val="left"/>
      </w:pPr>
      <w:r>
        <w:rPr/>
        <w:t xml:space="preserve">(2) To prevent wrongful disclosure of information and records related to mental health services, as described in RCW 71.05.445 and 70.02.250, a court may take only those steps necessary during a sentencing hearing or any hearing in which the department presents information related to mental health services to the court. The steps may be taken on motion of the defendant, the prosecuting attorney, or on the court's own motion. The court may seal the portion of the record relating to information relating to mental health services, exclude the public from the hearing during presentation or discussion of information and records relating to mental health services, or grant other relief to achieve the result intended by this subsection, but nothing in this subsection shall be construed to prevent the subsequent release of information and records related to mental health services as authorized by RCW 71.05.445, 70.02.250, or 72.09.585. Any person who otherwise is permitted to attend any hearing pursuant to chapter 7.69 or 7.69A RCW shall not be excluded from the hearing solely because the department intends to disclose or discloses information related to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2021 c 242 s 2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t>
      </w:r>
      <w:r>
        <w:t>((</w:t>
      </w:r>
      <w:r>
        <w:rPr>
          <w:strike/>
        </w:rPr>
        <w:t xml:space="preserve">where domestic violence has been pleaded and proven</w:t>
      </w:r>
      <w:r>
        <w:t>))</w:t>
      </w:r>
      <w:r>
        <w:rPr/>
        <w:t xml:space="preserve"> after August 1, 2011; and</w:t>
      </w:r>
    </w:p>
    <w:p>
      <w:pPr>
        <w:spacing w:before="0" w:after="0" w:line="408" w:lineRule="exact"/>
        <w:ind w:left="0" w:right="0" w:firstLine="576"/>
        <w:jc w:val="left"/>
      </w:pPr>
      <w:r>
        <w:rPr/>
        <w:t xml:space="preserve">(ii) A prior conviction for a repetitive domestic violence offense or domestic violence felony offense </w:t>
      </w:r>
      <w:r>
        <w:t>((</w:t>
      </w:r>
      <w:r>
        <w:rPr>
          <w:strike/>
        </w:rPr>
        <w:t xml:space="preserve">where domestic violence has been pleaded and proven</w:t>
      </w:r>
      <w:r>
        <w:t>))</w:t>
      </w:r>
      <w:r>
        <w:rPr/>
        <w:t xml:space="preserve">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t>
      </w:r>
      <w:r>
        <w:t>((</w:t>
      </w:r>
      <w:r>
        <w:rPr>
          <w:strike/>
        </w:rPr>
        <w:t xml:space="preserve">where domestic violence has been pleaded and proven</w:t>
      </w:r>
      <w:r>
        <w:t>))</w:t>
      </w:r>
      <w:r>
        <w:rPr/>
        <w:t xml:space="preserve"> after August 1, 2011, and a prior conviction for a repetitive domestic violence offense or domestic violence felony offense </w:t>
      </w:r>
      <w:r>
        <w:t>((</w:t>
      </w:r>
      <w:r>
        <w:rPr>
          <w:strike/>
        </w:rPr>
        <w:t xml:space="preserve">where domestic violence was pleaded and proven</w:t>
      </w:r>
      <w:r>
        <w:t>))</w:t>
      </w:r>
      <w:r>
        <w:rPr/>
        <w:t xml:space="preserve">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t>
      </w:r>
      <w:r>
        <w:t>((</w:t>
      </w:r>
      <w:r>
        <w:rPr>
          <w:strike/>
        </w:rPr>
        <w:t xml:space="preserve">where domestic violence was pleaded and proven</w:t>
      </w:r>
      <w:r>
        <w:t>))</w:t>
      </w:r>
      <w:r>
        <w:rPr/>
        <w:t xml:space="preserve">.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or 9.94A.695;</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(9), or 9.94A.702, except in cases where the court has imposed an exceptional term of community custody under RCW 9.94A.535.</w:t>
      </w:r>
    </w:p>
    <w:p>
      <w:pPr>
        <w:spacing w:before="0" w:after="0" w:line="408" w:lineRule="exact"/>
        <w:ind w:left="0" w:right="0" w:firstLine="576"/>
        <w:jc w:val="left"/>
      </w:pPr>
      <w:r>
        <w:rPr/>
        <w:t xml:space="preserve">(9) The period of time the department is authorized to supervise an offender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502</w:t>
      </w:r>
      <w:r>
        <w:rPr/>
        <w:t xml:space="preserve"> and 2019 c 263 s 401 are each amended to read as follows:</w:t>
      </w:r>
    </w:p>
    <w:p>
      <w:pPr>
        <w:spacing w:before="0" w:after="0" w:line="408" w:lineRule="exact"/>
        <w:ind w:left="0" w:right="0" w:firstLine="576"/>
        <w:jc w:val="left"/>
      </w:pPr>
      <w:r>
        <w:rPr/>
        <w:t xml:space="preserve">(1) The Washington State University department of criminal justice shall develop a tool to be used in conjunction with the Washington one risk assessment that would specifically predict whether the offender will commit domestic violence in the future. The domestic violence tool may incorporate relevant court records into the prediction modeling, if practical within the resources allocated. The tool will be used by the department as part of the current risk, needs, and responsivity assessment process.</w:t>
      </w:r>
    </w:p>
    <w:p>
      <w:pPr>
        <w:spacing w:before="0" w:after="0" w:line="408" w:lineRule="exact"/>
        <w:ind w:left="0" w:right="0" w:firstLine="576"/>
        <w:jc w:val="left"/>
      </w:pPr>
      <w:r>
        <w:rPr/>
        <w:t xml:space="preserve">(2) The Washington State University department of criminal justice shall make the domestic violence risk assessment tool available for use by the department no later than July 1, 2020. Subject to funds appropriated for this specific purpose, the department shall start to implement the domestic violence risk assessment tool by July 1, 2020, and by July 1, 2021, the department shall use the domestic violence risk assessment tool when conducting a Washington one risk assessment for an offender with a current conviction </w:t>
      </w:r>
      <w:r>
        <w:t>((</w:t>
      </w:r>
      <w:r>
        <w:rPr>
          <w:strike/>
        </w:rPr>
        <w:t xml:space="preserve">where</w:t>
      </w:r>
      <w:r>
        <w:t>))</w:t>
      </w:r>
      <w:r>
        <w:rPr/>
        <w:t xml:space="preserve"> </w:t>
      </w:r>
      <w:r>
        <w:rPr>
          <w:u w:val="single"/>
        </w:rPr>
        <w:t xml:space="preserve">for</w:t>
      </w:r>
      <w:r>
        <w:rPr/>
        <w:t xml:space="preserve"> domestic violence </w:t>
      </w:r>
      <w:r>
        <w:t>((</w:t>
      </w:r>
      <w:r>
        <w:rPr>
          <w:strike/>
        </w:rPr>
        <w:t xml:space="preserve">was pleaded and proven</w:t>
      </w:r>
      <w:r>
        <w:t>))</w:t>
      </w:r>
      <w:r>
        <w:rPr/>
        <w:t xml:space="preserve">.</w:t>
      </w:r>
    </w:p>
    <w:p>
      <w:pPr>
        <w:spacing w:before="0" w:after="0" w:line="408" w:lineRule="exact"/>
        <w:ind w:left="0" w:right="0" w:firstLine="576"/>
        <w:jc w:val="left"/>
      </w:pPr>
      <w:r>
        <w:rPr/>
        <w:t xml:space="preserve">(3) The harborview center for sexual assault and traumatic stress shall develop a training curriculum for domestic violence perpetrator treatment providers that incorporates evidence-based practices and treatment modalities consistent with the Washington Administrative Code provisions adopted by the department of social and health services. The harborview center for sexual assault and traumatic stress shall complete the training curriculum and make it available for provider training no later than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2023 c 415 s 2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(1)(a)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(b) For the purposes of this section, adjudications of guilt pursuant to Title 13 RCW which are not murder in the first or second degree or class A felony sex offenses may not be included in the offender score.</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prior adult convictions and prior juvenile adjudications.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Neither out-of-state or federal convictions which would have been presumptively adjudicated in juvenile court under Washington law may be included in the offender score unless they are comparable to murder in the first or second degree or a class A felony sex offense.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convictions or adjudications served concurrently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which is scorable under subsection (1)(b) of this section.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violent felony conviction and juvenile violent felony conviction which is scorable under subsection (1)(b) of this section, and one point for each prior adult nonviolent felony conviction.</w:t>
      </w:r>
    </w:p>
    <w:p>
      <w:pPr>
        <w:spacing w:before="0" w:after="0" w:line="408" w:lineRule="exact"/>
        <w:ind w:left="0" w:right="0" w:firstLine="576"/>
        <w:jc w:val="left"/>
      </w:pPr>
      <w:r>
        <w:rPr/>
        <w:t xml:space="preserve">(9) If the present conviction is for a serious violent offense, count three points for prior adult convictions and juvenile convictions which are scorable under subsection (1)(b) of this section for crimes in this category, two points for each prior adult and scorable juvenile violent conviction (not already counted), and one point for each prior adult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Burglary 2 or residential burglary conviction.</w:t>
      </w:r>
    </w:p>
    <w:p>
      <w:pPr>
        <w:spacing w:before="0" w:after="0" w:line="408" w:lineRule="exact"/>
        <w:ind w:left="0" w:right="0" w:firstLine="576"/>
        <w:jc w:val="left"/>
      </w:pPr>
      <w:r>
        <w:rPr/>
        <w:t xml:space="preserve">(11) If the present conviction is for a felony traffic offense count two points for each prior conviction for Vehicular Homicide or Vehicular Assault; for each felony offense count one point for each adult prior conviction and 1/2 point for each juvenile prior conviction which is scorable under subsection (1)(b) of this section; for each serious traffic offense, other than those used for an enhancement pursuant to RCW 46.61.520(2), count one point for each adult prior conviction and 1/2 point for each juvenile prior conviction which is scorable under subsection (1)(b) of this section; count one point for each adult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prior conviction for homicide by watercraft or assault by watercraft; for each felony offense count one point for each adult prior conviction and 1/2 point for each juvenile prior conviction which would be scorable under subsection (1)(b) of this section; count one point for each adult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If the present conviction is for a drug offense and the offender has a criminal history that includes a sex offense or serious violent offense, count three points for each adult prior felony drug offense conviction. All other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adult prior escape convictions in the offender score. Count prior escape convictions as one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which are scorable under subsection (1)(b) of this section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prior Burglary 1 conviction, and two points for each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prior sex offense conviction and juvenile prior class A felony sex offense adjudication.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prior sex offense conviction and juvenile prior sex offense conviction which is scorable under subsection (1)(b) of this section, excluding adult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w:t>
      </w:r>
      <w:r>
        <w:t>((</w:t>
      </w:r>
      <w:r>
        <w:rPr>
          <w:strike/>
        </w:rPr>
        <w:t xml:space="preserve">domestic violence</w:t>
      </w:r>
      <w:r>
        <w:t>))</w:t>
      </w:r>
      <w:r>
        <w:rPr/>
        <w:t xml:space="preserve"> offense </w:t>
      </w:r>
      <w:r>
        <w:t>((</w:t>
      </w:r>
      <w:r>
        <w:rPr>
          <w:strike/>
        </w:rPr>
        <w:t xml:space="preserve">where</w:t>
      </w:r>
      <w:r>
        <w:t>))</w:t>
      </w:r>
      <w:r>
        <w:rPr/>
        <w:t xml:space="preserve"> </w:t>
      </w:r>
      <w:r>
        <w:rPr>
          <w:u w:val="single"/>
        </w:rPr>
        <w:t xml:space="preserve">for</w:t>
      </w:r>
      <w:r>
        <w:rPr/>
        <w:t xml:space="preserve"> domestic violence as defined in RCW 9.94A.030 </w:t>
      </w:r>
      <w:r>
        <w:t>((</w:t>
      </w:r>
      <w:r>
        <w:rPr>
          <w:strike/>
        </w:rPr>
        <w:t xml:space="preserve">was pleaded and proven</w:t>
      </w:r>
      <w:r>
        <w:t>))</w:t>
      </w:r>
      <w:r>
        <w:rPr/>
        <w:t xml:space="preserve">,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t>
      </w:r>
      <w:r>
        <w:t>((</w:t>
      </w:r>
      <w:r>
        <w:rPr>
          <w:strike/>
        </w:rPr>
        <w:t xml:space="preserve">where</w:t>
      </w:r>
      <w:r>
        <w:t>))</w:t>
      </w:r>
      <w:r>
        <w:rPr/>
        <w:t xml:space="preserve"> </w:t>
      </w:r>
      <w:r>
        <w:rPr>
          <w:u w:val="single"/>
        </w:rPr>
        <w:t xml:space="preserve">for</w:t>
      </w:r>
      <w:r>
        <w:rPr/>
        <w:t xml:space="preserve"> domestic violence as defined in RCW 9.94A.030 </w:t>
      </w:r>
      <w:r>
        <w:t>((</w:t>
      </w:r>
      <w:r>
        <w:rPr>
          <w:strike/>
        </w:rPr>
        <w:t xml:space="preserve">was pleaded and proven</w:t>
      </w:r>
      <w:r>
        <w:t>))</w:t>
      </w:r>
      <w:r>
        <w:rPr/>
        <w:t xml:space="preserve"> after August 1, 2011, for any of the following offenses: A felony violation of a no</w:t>
      </w:r>
      <w:r>
        <w:rPr/>
        <w:noBreakHyphen/>
      </w:r>
      <w:r>
        <w:rPr/>
        <w:t xml:space="preserve">contact or protection order (RCW 7.105.450 or former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t>
      </w:r>
      <w:r>
        <w:t>((</w:t>
      </w:r>
      <w:r>
        <w:rPr>
          <w:strike/>
        </w:rPr>
        <w:t xml:space="preserve">where</w:t>
      </w:r>
      <w:r>
        <w:t>))</w:t>
      </w:r>
      <w:r>
        <w:rPr/>
        <w:t xml:space="preserve"> </w:t>
      </w:r>
      <w:r>
        <w:rPr>
          <w:u w:val="single"/>
        </w:rPr>
        <w:t xml:space="preserve">for</w:t>
      </w:r>
      <w:r>
        <w:rPr/>
        <w:t xml:space="preserve"> domestic violence as defined in RCW 9.94A.030 </w:t>
      </w:r>
      <w:r>
        <w:t>((</w:t>
      </w:r>
      <w:r>
        <w:rPr>
          <w:strike/>
        </w:rPr>
        <w:t xml:space="preserve">was pleaded and proven</w:t>
      </w:r>
      <w:r>
        <w:t>))</w:t>
      </w:r>
      <w:r>
        <w:rPr/>
        <w:t xml:space="preserve">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 and</w:t>
      </w:r>
    </w:p>
    <w:p>
      <w:pPr>
        <w:spacing w:before="0" w:after="0" w:line="408" w:lineRule="exact"/>
        <w:ind w:left="0" w:right="0" w:firstLine="576"/>
        <w:jc w:val="left"/>
      </w:pPr>
      <w:r>
        <w:rPr/>
        <w:t xml:space="preserve">(c) Count one point for each adult prior conviction for a repetitive domestic violence offense as defined in RCW 9.94A.030</w:t>
      </w:r>
      <w:r>
        <w:t>((</w:t>
      </w:r>
      <w:r>
        <w:rPr>
          <w:strike/>
        </w:rPr>
        <w:t xml:space="preserve">, where domestic violence as defined in RCW 9.94A.030, was pleaded and proven</w:t>
      </w:r>
      <w:r>
        <w:t>))</w:t>
      </w:r>
      <w:r>
        <w:rPr/>
        <w:t xml:space="preserve">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
      <w:pPr>
        <w:jc w:val="center"/>
      </w:pPr>
      <w:r>
        <w:rPr>
          <w:b/>
        </w:rPr>
        <w:t>--- END ---</w:t>
      </w:r>
    </w:p>
    <w:sectPr>
      <w:pgNumType w:start="1"/>
      <w:footerReference xmlns:r="http://schemas.openxmlformats.org/officeDocument/2006/relationships" r:id="R5ae7d90b257b46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3262d13a5148e1" /><Relationship Type="http://schemas.openxmlformats.org/officeDocument/2006/relationships/footer" Target="/word/footer1.xml" Id="R5ae7d90b257b462a" /></Relationships>
</file>