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6fe4e02bf24b6a" /></Relationships>
</file>

<file path=word/document.xml><?xml version="1.0" encoding="utf-8"?>
<w:document xmlns:w="http://schemas.openxmlformats.org/wordprocessingml/2006/main">
  <w:body>
    <w:p>
      <w:r>
        <w:t>H-2283.1</w:t>
      </w:r>
    </w:p>
    <w:p>
      <w:pPr>
        <w:jc w:val="center"/>
      </w:pPr>
      <w:r>
        <w:t>_______________________________________________</w:t>
      </w:r>
    </w:p>
    <w:p/>
    <w:p>
      <w:pPr>
        <w:jc w:val="center"/>
      </w:pPr>
      <w:r>
        <w:rPr>
          <w:b/>
        </w:rPr>
        <w:t>HOUSE BILL 2054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Farivar, Ormsby, Fitzgibbon, Ryu, Senn, Ramel, Berry, Duerr, Reed, Simmons, Peterson, Callan, Macri, Street, Mena, Bergquist, Alvarado, Lekanoff, Fosse, Doglio, Santos, Reeves, Hackney, and Pollet</w:t>
      </w:r>
    </w:p>
    <w:p/>
    <w:p>
      <w:r>
        <w:rPr>
          <w:t xml:space="preserve">Prefiled 12/28/23.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bulk purchases and transfers of firearms; and adding a new section to chapter 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dealer may not deliver more than one firearm to a purchaser or transferee within any 30-day period.</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Any general authority Washington law enforcement agency or limited authority Washington law enforcement agency as those terms are defined in RCW 10.93.020;</w:t>
      </w:r>
    </w:p>
    <w:p>
      <w:pPr>
        <w:spacing w:before="0" w:after="0" w:line="408" w:lineRule="exact"/>
        <w:ind w:left="0" w:right="0" w:firstLine="576"/>
        <w:jc w:val="left"/>
      </w:pPr>
      <w:r>
        <w:rPr/>
        <w:t xml:space="preserve">(b) Any correctional facility as defined in RCW 72.09.015;</w:t>
      </w:r>
    </w:p>
    <w:p>
      <w:pPr>
        <w:spacing w:before="0" w:after="0" w:line="408" w:lineRule="exact"/>
        <w:ind w:left="0" w:right="0" w:firstLine="576"/>
        <w:jc w:val="left"/>
      </w:pPr>
      <w:r>
        <w:rPr/>
        <w:t xml:space="preserve">(c) Any private security company as defined in RCW 18.170.010;</w:t>
      </w:r>
    </w:p>
    <w:p>
      <w:pPr>
        <w:spacing w:before="0" w:after="0" w:line="408" w:lineRule="exact"/>
        <w:ind w:left="0" w:right="0" w:firstLine="576"/>
        <w:jc w:val="left"/>
      </w:pPr>
      <w:r>
        <w:rPr/>
        <w:t xml:space="preserve">(d) Any federal peace officer, general authority Washington peace officer, or limited authority Washington peace officer who as a normal part of their duties has arrest powers and carries a firearm, as those terms are defined in RCW 10.93.020 who makes the application for law enforcement purposes;</w:t>
      </w:r>
    </w:p>
    <w:p>
      <w:pPr>
        <w:spacing w:before="0" w:after="0" w:line="408" w:lineRule="exact"/>
        <w:ind w:left="0" w:right="0" w:firstLine="576"/>
        <w:jc w:val="left"/>
      </w:pPr>
      <w:r>
        <w:rPr/>
        <w:t xml:space="preserve">(e) The criminal justice training commission;</w:t>
      </w:r>
    </w:p>
    <w:p>
      <w:pPr>
        <w:spacing w:before="0" w:after="0" w:line="408" w:lineRule="exact"/>
        <w:ind w:left="0" w:right="0" w:firstLine="576"/>
        <w:jc w:val="left"/>
      </w:pPr>
      <w:r>
        <w:rPr/>
        <w:t xml:space="preserve">(f) Any federal firearms dealer, federal firearms importer, or dealer as those terms are defined in RCW 9.41.010;</w:t>
      </w:r>
    </w:p>
    <w:p>
      <w:pPr>
        <w:spacing w:before="0" w:after="0" w:line="408" w:lineRule="exact"/>
        <w:ind w:left="0" w:right="0" w:firstLine="576"/>
        <w:jc w:val="left"/>
      </w:pPr>
      <w:r>
        <w:rPr/>
        <w:t xml:space="preserve">(g) Any person who may, pursuant to RCW 9.41.113(4), claim an exemption from the background check requirements of RCW 9.41.113;</w:t>
      </w:r>
    </w:p>
    <w:p>
      <w:pPr>
        <w:spacing w:before="0" w:after="0" w:line="408" w:lineRule="exact"/>
        <w:ind w:left="0" w:right="0" w:firstLine="576"/>
        <w:jc w:val="left"/>
      </w:pPr>
      <w:r>
        <w:rPr/>
        <w:t xml:space="preserve">(h) The exchange of a firearm where the dealer purchased that firearm from the person seeking the exchange within the 30-day period immediately preceding the date of exchange or replacement;</w:t>
      </w:r>
    </w:p>
    <w:p>
      <w:pPr>
        <w:spacing w:before="0" w:after="0" w:line="408" w:lineRule="exact"/>
        <w:ind w:left="0" w:right="0" w:firstLine="576"/>
        <w:jc w:val="left"/>
      </w:pPr>
      <w:r>
        <w:rPr/>
        <w:t xml:space="preserve">(i) The return of any firearm to its owner;</w:t>
      </w:r>
    </w:p>
    <w:p>
      <w:pPr>
        <w:spacing w:before="0" w:after="0" w:line="408" w:lineRule="exact"/>
        <w:ind w:left="0" w:right="0" w:firstLine="576"/>
        <w:jc w:val="left"/>
      </w:pPr>
      <w:r>
        <w:rPr/>
        <w:t xml:space="preserve">(j) The receipt of firearms by a person who, on or after April 25, 2023, acquires possession of the firearms by operation of law upon the death of the former owner who was in legal possession of the firearms, provided the person in possession of the firearms can establish such provenance. Receipt under this subsection is not "distribution" under this chapter;</w:t>
      </w:r>
    </w:p>
    <w:p>
      <w:pPr>
        <w:spacing w:before="0" w:after="0" w:line="408" w:lineRule="exact"/>
        <w:ind w:left="0" w:right="0" w:firstLine="576"/>
        <w:jc w:val="left"/>
      </w:pPr>
      <w:r>
        <w:rPr/>
        <w:t xml:space="preserve">(k) Any private party transaction where the seller is, at the time of the transaction, required under state law or by court order to relinquish all firearms;</w:t>
      </w:r>
    </w:p>
    <w:p>
      <w:pPr>
        <w:spacing w:before="0" w:after="0" w:line="408" w:lineRule="exact"/>
        <w:ind w:left="0" w:right="0" w:firstLine="576"/>
        <w:jc w:val="left"/>
      </w:pPr>
      <w:r>
        <w:rPr/>
        <w:t xml:space="preserve">(l) Any private party transaction where the seller is any of the following:</w:t>
      </w:r>
    </w:p>
    <w:p>
      <w:pPr>
        <w:spacing w:before="0" w:after="0" w:line="408" w:lineRule="exact"/>
        <w:ind w:left="0" w:right="0" w:firstLine="576"/>
        <w:jc w:val="left"/>
      </w:pPr>
      <w:r>
        <w:rPr/>
        <w:t xml:space="preserve">(i) The personal representative of a decedent's estate who is transferring the firearm to one or more heirs or beneficiaries of the decedent's estate pursuant to the decedent's will or the laws of intestate succession;</w:t>
      </w:r>
    </w:p>
    <w:p>
      <w:pPr>
        <w:spacing w:before="0" w:after="0" w:line="408" w:lineRule="exact"/>
        <w:ind w:left="0" w:right="0" w:firstLine="576"/>
        <w:jc w:val="left"/>
      </w:pPr>
      <w:r>
        <w:rPr/>
        <w:t xml:space="preserve">(ii) The holder of the decedent's property who is transferring the firearms pursuant to RCW 11.62.010 to the successor of the decedent, as defined in RCW 11.62.005, or the surviving spouse of the decedent pursuant to RCW 11.04.015;</w:t>
      </w:r>
    </w:p>
    <w:p>
      <w:pPr>
        <w:spacing w:before="0" w:after="0" w:line="408" w:lineRule="exact"/>
        <w:ind w:left="0" w:right="0" w:firstLine="576"/>
        <w:jc w:val="left"/>
      </w:pPr>
      <w:r>
        <w:rPr/>
        <w:t xml:space="preserve">(iii) The trustee of a trust who is transferring the firearms to one or more trust beneficiaries upon the death of a settlor of the trust; or</w:t>
      </w:r>
    </w:p>
    <w:p>
      <w:pPr>
        <w:spacing w:before="0" w:after="0" w:line="408" w:lineRule="exact"/>
        <w:ind w:left="0" w:right="0" w:firstLine="576"/>
        <w:jc w:val="left"/>
      </w:pPr>
      <w:r>
        <w:rPr/>
        <w:t xml:space="preserve">(m) Any person who is licensed as a collector pursuant to 18 U.S.C. Sec. 921 and the regulations issued pursuant thereto, and has a current certificate of eligibility issued by the department of justice.</w:t>
      </w:r>
    </w:p>
    <w:p/>
    <w:p>
      <w:pPr>
        <w:jc w:val="center"/>
      </w:pPr>
      <w:r>
        <w:rPr>
          <w:b/>
        </w:rPr>
        <w:t>--- END ---</w:t>
      </w:r>
    </w:p>
    <w:sectPr>
      <w:pgNumType w:start="1"/>
      <w:footerReference xmlns:r="http://schemas.openxmlformats.org/officeDocument/2006/relationships" r:id="Rc6ac1aeca8d047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be43f400a74602" /><Relationship Type="http://schemas.openxmlformats.org/officeDocument/2006/relationships/footer" Target="/word/footer1.xml" Id="Rc6ac1aeca8d047bb" /></Relationships>
</file>