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ef5de684847d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2099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Farivar, Cortes, Pollet, Reed, Simmons, Ormsby, Ramel, Gregerson, Goodman, Caldier, Stonier, Paul, Jacobsen, Nance, Wylie, Street, Reeves, Macri, Davis, and Ryu)</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identification cards for persons in state custody or care; amending RCW 72.09.270, 46.20.035, 46.20.117, and 46.20.286; adding a new section to chapter 72.09 RCW; adding a new section to chapter 70.48 RCW; adding a new section to chapter 72.23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w:t>
      </w:r>
    </w:p>
    <w:p>
      <w:pPr>
        <w:spacing w:before="0" w:after="0" w:line="408" w:lineRule="exact"/>
        <w:ind w:left="0" w:right="0" w:firstLine="576"/>
        <w:jc w:val="left"/>
      </w:pPr>
      <w:r>
        <w:rPr/>
        <w:t xml:space="preserve">(i) Evaluate the incarcerated individual's needs and, to the extent possible, connect the incarcerated individual with existing services and resources that meet those needs; </w:t>
      </w:r>
      <w:r>
        <w:t>((</w:t>
      </w:r>
      <w:r>
        <w:rPr>
          <w:strike/>
        </w:rPr>
        <w:t xml:space="preserve">and</w:t>
      </w:r>
      <w:r>
        <w:t>))</w:t>
      </w:r>
    </w:p>
    <w:p>
      <w:pPr>
        <w:spacing w:before="0" w:after="0" w:line="408" w:lineRule="exact"/>
        <w:ind w:left="0" w:right="0" w:firstLine="576"/>
        <w:jc w:val="left"/>
      </w:pPr>
      <w:r>
        <w:rPr/>
        <w:t xml:space="preserve">(ii)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 and</w:t>
      </w:r>
    </w:p>
    <w:p>
      <w:pPr>
        <w:spacing w:before="0" w:after="0" w:line="408" w:lineRule="exact"/>
        <w:ind w:left="0" w:right="0" w:firstLine="576"/>
        <w:jc w:val="left"/>
      </w:pPr>
      <w:r>
        <w:rPr>
          <w:u w:val="single"/>
        </w:rPr>
        <w:t xml:space="preserve">(iii) Ensure that every consenting incarcerated individual possesses a valid identicard or driver's license, issued by the department of licensing under chapter 46.20 RCW, prior to the individual's release from total confinement in a correctional facility. Issuance of the identicard or driver's license must not cause a delay in the release of an incarcerated individual. The department must:</w:t>
      </w:r>
    </w:p>
    <w:p>
      <w:pPr>
        <w:spacing w:before="0" w:after="0" w:line="408" w:lineRule="exact"/>
        <w:ind w:left="0" w:right="0" w:firstLine="576"/>
        <w:jc w:val="left"/>
      </w:pPr>
      <w:r>
        <w:rPr>
          <w:u w:val="single"/>
        </w:rPr>
        <w:t xml:space="preserve">(A) Pay any application fee required for obtaining the identicard;</w:t>
      </w:r>
    </w:p>
    <w:p>
      <w:pPr>
        <w:spacing w:before="0" w:after="0" w:line="408" w:lineRule="exact"/>
        <w:ind w:left="0" w:right="0" w:firstLine="576"/>
        <w:jc w:val="left"/>
      </w:pPr>
      <w:r>
        <w:rPr>
          <w:u w:val="single"/>
        </w:rPr>
        <w:t xml:space="preserve">(B) Provide a photo of the incarcerated individual for use on the identicard under RCW 46.20.035(1), which upon request of the individual must be a different photo than the individual's mug shot and not indicate that the individual was incarcerated at the time of the photo; and</w:t>
      </w:r>
    </w:p>
    <w:p>
      <w:pPr>
        <w:spacing w:before="0" w:after="0" w:line="408" w:lineRule="exact"/>
        <w:ind w:left="0" w:right="0" w:firstLine="576"/>
        <w:jc w:val="left"/>
      </w:pPr>
      <w:r>
        <w:rPr>
          <w:u w:val="single"/>
        </w:rPr>
        <w:t xml:space="preserve">(C) Obtain a signature from the individual that is acceptable to the department of licensing to use for an identicard or driver's license</w:t>
      </w:r>
      <w:r>
        <w:rPr/>
        <w:t xml:space="preserve">.</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issue a department of corrections identification card to an incarcerated person in a correctional facility for identification and use while in that facility.</w:t>
      </w:r>
    </w:p>
    <w:p>
      <w:pPr>
        <w:spacing w:before="0" w:after="0" w:line="408" w:lineRule="exact"/>
        <w:ind w:left="0" w:right="0" w:firstLine="576"/>
        <w:jc w:val="left"/>
      </w:pPr>
      <w:r>
        <w:rPr/>
        <w:t xml:space="preserve">(2) The department must also issue a department of corrections identification card under this section to any individual in community custody upon the individual's request and may require the individual to report to the closest correctional facility to facilitate completion of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w:t>
      </w:r>
      <w:r>
        <w:t>((</w:t>
      </w:r>
      <w:r>
        <w:rPr>
          <w:strike/>
        </w:rPr>
        <w:t xml:space="preserve">or</w:t>
      </w:r>
      <w:r>
        <w:t>))</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 services</w:t>
      </w:r>
      <w:r>
        <w:rPr/>
        <w:t xml:space="preserve"> service form</w:t>
      </w:r>
      <w:r>
        <w:rPr>
          <w:u w:val="single"/>
        </w:rPr>
        <w:t xml:space="preserve">;</w:t>
      </w:r>
    </w:p>
    <w:p>
      <w:pPr>
        <w:spacing w:before="0" w:after="0" w:line="408" w:lineRule="exact"/>
        <w:ind w:left="0" w:right="0" w:firstLine="576"/>
        <w:jc w:val="left"/>
      </w:pPr>
      <w:r>
        <w:rPr>
          <w:u w:val="single"/>
        </w:rPr>
        <w:t xml:space="preserve">(g) An identification card issued by the department of corrections under section 2 of this act; or</w:t>
      </w:r>
    </w:p>
    <w:p>
      <w:pPr>
        <w:spacing w:before="0" w:after="0" w:line="408" w:lineRule="exact"/>
        <w:ind w:left="0" w:right="0" w:firstLine="576"/>
        <w:jc w:val="left"/>
      </w:pPr>
      <w:r>
        <w:rPr>
          <w:u w:val="single"/>
        </w:rPr>
        <w:t xml:space="preserve">(h) A patient identification verification document issued by a facility under section 7 of this act</w:t>
      </w:r>
      <w:r>
        <w:rPr/>
        <w:t xml:space="preserve">.</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rPr/>
        <w:t xml:space="preserve">(5) The form of an applicant's name, as established under this section, is the person's name of record for the purposes of this chapter.</w:t>
      </w:r>
    </w:p>
    <w:p>
      <w:pPr>
        <w:spacing w:before="0" w:after="0" w:line="408" w:lineRule="exact"/>
        <w:ind w:left="0" w:right="0" w:firstLine="576"/>
        <w:jc w:val="left"/>
      </w:pPr>
      <w:r>
        <w:rPr/>
        <w:t xml:space="preserve">(6)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seventy-two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w:t>
      </w:r>
      <w:r>
        <w:rPr>
          <w:u w:val="single"/>
        </w:rPr>
        <w:t xml:space="preserve">a correctional facility as defined in RCW 72.09.015,</w:t>
      </w:r>
      <w:r>
        <w:rPr/>
        <w:t xml:space="preserve">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nine dollars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286</w:t>
      </w:r>
      <w:r>
        <w:rPr/>
        <w:t xml:space="preserve"> and 2005 c 282 s 47 are each amended to read as follows:</w:t>
      </w:r>
    </w:p>
    <w:p>
      <w:pPr>
        <w:spacing w:before="0" w:after="0" w:line="408" w:lineRule="exact"/>
        <w:ind w:left="0" w:right="0" w:firstLine="576"/>
        <w:jc w:val="left"/>
      </w:pPr>
      <w:r>
        <w:rPr>
          <w:u w:val="single"/>
        </w:rPr>
        <w:t xml:space="preserve">(1)</w:t>
      </w:r>
      <w:r>
        <w:rPr/>
        <w:t xml:space="preserve"> The department of licensing shall adopt procedures in cooperation with the administrative office of the courts and the department of corrections to implement RCW 46.20.285.</w:t>
      </w:r>
    </w:p>
    <w:p>
      <w:pPr>
        <w:spacing w:before="0" w:after="0" w:line="408" w:lineRule="exact"/>
        <w:ind w:left="0" w:right="0" w:firstLine="576"/>
        <w:jc w:val="left"/>
      </w:pPr>
      <w:r>
        <w:rPr>
          <w:u w:val="single"/>
        </w:rPr>
        <w:t xml:space="preserve">(2) The department of licensing shall ensure that the department of corrections has direct access to appropriate department of licensing systems in order that the department of corrections may assist incarcerated individuals with obtaining a driver's license under this chapter, prior to an individual's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2025, using previous experience working with Washington prisons and jails, the department of licensing, in consultation with the Washington association of sheriffs and police chiefs, shall develop a model policy, process, and appropriate forms and informational materials for the department of licensing and governing units responsible for a city, county, or multijurisdictional jail to assist individuals in custody of the jail with obtaining a state-issued identicard pursuant to RCW 46.20.117. The process must include facilitating communication between an individual in custody and the department of licensing.</w:t>
      </w:r>
    </w:p>
    <w:p>
      <w:pPr>
        <w:spacing w:before="0" w:after="0" w:line="408" w:lineRule="exact"/>
        <w:ind w:left="0" w:right="0" w:firstLine="576"/>
        <w:jc w:val="left"/>
      </w:pPr>
      <w:r>
        <w:rPr/>
        <w:t xml:space="preserve">(2) Nothing in this section limits or prohibits a city, county, or multijurisdictional jail from assisting an individual in custody with obtaining an original, renewal, or replacement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following entities must each ensure that every consenting patient possesses a valid identicard, issued by the department of licensing under chapter 46.20 RCW, prior to the individual's release from care in the applicable facility:</w:t>
      </w:r>
    </w:p>
    <w:p>
      <w:pPr>
        <w:spacing w:before="0" w:after="0" w:line="408" w:lineRule="exact"/>
        <w:ind w:left="0" w:right="0" w:firstLine="576"/>
        <w:jc w:val="left"/>
      </w:pPr>
      <w:r>
        <w:rPr/>
        <w:t xml:space="preserve">(a) State hospitals licensed under chapter 72.23 RCW;</w:t>
      </w:r>
    </w:p>
    <w:p>
      <w:pPr>
        <w:spacing w:before="0" w:after="0" w:line="408" w:lineRule="exact"/>
        <w:ind w:left="0" w:right="0" w:firstLine="576"/>
        <w:jc w:val="left"/>
      </w:pPr>
      <w:r>
        <w:rPr/>
        <w:t xml:space="preserve">(b) The special commitment center and secure community transition facilities licensed under RCW 71.09.250 and 71.09.290; or</w:t>
      </w:r>
    </w:p>
    <w:p>
      <w:pPr>
        <w:spacing w:before="0" w:after="0" w:line="408" w:lineRule="exact"/>
        <w:ind w:left="0" w:right="0" w:firstLine="576"/>
        <w:jc w:val="left"/>
      </w:pPr>
      <w:r>
        <w:rPr/>
        <w:t xml:space="preserve">(c) Residential treatment facilities that provide mental health services operated by the department of social and health services.</w:t>
      </w:r>
    </w:p>
    <w:p>
      <w:pPr>
        <w:spacing w:before="0" w:after="0" w:line="408" w:lineRule="exact"/>
        <w:ind w:left="0" w:right="0" w:firstLine="576"/>
        <w:jc w:val="left"/>
      </w:pPr>
      <w:r>
        <w:rPr/>
        <w:t xml:space="preserve">(2) The facilities listed in subsection (1) of this section must:</w:t>
      </w:r>
    </w:p>
    <w:p>
      <w:pPr>
        <w:spacing w:before="0" w:after="0" w:line="408" w:lineRule="exact"/>
        <w:ind w:left="0" w:right="0" w:firstLine="576"/>
        <w:jc w:val="left"/>
      </w:pPr>
      <w:r>
        <w:rPr/>
        <w:t xml:space="preserve">(a) Pay any applicable application fee required for obtaining the identicard;</w:t>
      </w:r>
    </w:p>
    <w:p>
      <w:pPr>
        <w:spacing w:before="0" w:after="0" w:line="408" w:lineRule="exact"/>
        <w:ind w:left="0" w:right="0" w:firstLine="576"/>
        <w:jc w:val="left"/>
      </w:pPr>
      <w:r>
        <w:rPr/>
        <w:t xml:space="preserve">(b) Provide a photo of the patient for use on the identicard under RCW 46.20.035(1); and</w:t>
      </w:r>
    </w:p>
    <w:p>
      <w:pPr>
        <w:spacing w:before="0" w:after="0" w:line="408" w:lineRule="exact"/>
        <w:ind w:left="0" w:right="0" w:firstLine="576"/>
        <w:jc w:val="left"/>
      </w:pPr>
      <w:r>
        <w:rPr/>
        <w:t xml:space="preserve">(c) Obtain a signature or mark from the patient that is acceptable to the department of licensing to use for an identicard.</w:t>
      </w:r>
    </w:p>
    <w:p>
      <w:pPr>
        <w:spacing w:before="0" w:after="0" w:line="408" w:lineRule="exact"/>
        <w:ind w:left="0" w:right="0" w:firstLine="576"/>
        <w:jc w:val="left"/>
      </w:pPr>
      <w:r>
        <w:rPr/>
        <w:t xml:space="preserve">(3) Issuance of an identicard under this section must not cause a delay in the release of an individual. </w:t>
      </w:r>
    </w:p>
    <w:p>
      <w:pPr>
        <w:spacing w:before="0" w:after="0" w:line="408" w:lineRule="exact"/>
        <w:ind w:left="0" w:right="0" w:firstLine="576"/>
        <w:jc w:val="left"/>
      </w:pPr>
      <w:r>
        <w:rPr/>
        <w:t xml:space="preserve">(4) The facilities in subsection (1) of this section must each provide a patient identification verification document for any patient in the custody of the facility, which must include the individual's legal first and last name, facility medical identification number, photo, patient or authorized representative signature or mark, and signature of social work supervisor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c4046044d0d447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7a261b8f114e2e" /><Relationship Type="http://schemas.openxmlformats.org/officeDocument/2006/relationships/footer" Target="/word/footer1.xml" Id="Rc4046044d0d44710" /></Relationships>
</file>