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0fb9d187244266" /></Relationships>
</file>

<file path=word/document.xml><?xml version="1.0" encoding="utf-8"?>
<w:document xmlns:w="http://schemas.openxmlformats.org/wordprocessingml/2006/main">
  <w:body>
    <w:p>
      <w:r>
        <w:t>H-2413.1</w:t>
      </w:r>
    </w:p>
    <w:p>
      <w:pPr>
        <w:jc w:val="center"/>
      </w:pPr>
      <w:r>
        <w:t>_______________________________________________</w:t>
      </w:r>
    </w:p>
    <w:p/>
    <w:p>
      <w:pPr>
        <w:jc w:val="center"/>
      </w:pPr>
      <w:r>
        <w:rPr>
          <w:b/>
        </w:rPr>
        <w:t>HOUSE BILL 2126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Low, Peterson, Connors, Leavitt, Chapman, Barkis, Reed, Ormsby, Graham, Gregerson, Sandlin, Tharinger, Couture, and Kloba</w:t>
      </w:r>
    </w:p>
    <w:p/>
    <w:p>
      <w:r>
        <w:rPr>
          <w:t xml:space="preserve">Prefiled 01/04/24.</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opportunities for affordable housing by authorizing detached accessory dwelling units in rural areas; amending RCW 36.70A.696, 36.70A.177, and 36.70A.210; reenacting and amending RCW 36.70A.130;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Washingtonians are in a housing crisis and the state needs to produce another 1.1 million homes by 2044 to meet its housing needs. The legislature also finds that accessory dwelling units provide affordable housing, can be built quickly, and can provide supplemental income for property owners. Accessory dwelling units are especially needed in rural communities that do not yet have the infrastructure for larger scale development. Therefore, it is the intent of the legislature to provide pathways for the construction of accessory dwelling units in both urban and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may authorize development of detached accessory dwelling units in rural areas on lots of any size, even where otherwise prohibited by the county's comprehensive plan, countywide planning policy, or multicounty planning policy, if the detached accessory dwelling units are subject to development regulations that include the following requirements:</w:t>
      </w:r>
    </w:p>
    <w:p>
      <w:pPr>
        <w:spacing w:before="0" w:after="0" w:line="408" w:lineRule="exact"/>
        <w:ind w:left="0" w:right="0" w:firstLine="576"/>
        <w:jc w:val="left"/>
      </w:pPr>
      <w:r>
        <w:rPr/>
        <w:t xml:space="preserve">(a) A parcel may not have more than one accessory dwelling unit, whether attached or detached.</w:t>
      </w:r>
    </w:p>
    <w:p>
      <w:pPr>
        <w:spacing w:before="0" w:after="0" w:line="408" w:lineRule="exact"/>
        <w:ind w:left="0" w:right="0" w:firstLine="576"/>
        <w:jc w:val="left"/>
      </w:pPr>
      <w:r>
        <w:rPr/>
        <w:t xml:space="preserve">(b) The detached accessory dwelling unit must be subject to the water supply requirements in RCW 19.27.097 and the following additional requirements:</w:t>
      </w:r>
    </w:p>
    <w:p>
      <w:pPr>
        <w:spacing w:before="0" w:after="0" w:line="408" w:lineRule="exact"/>
        <w:ind w:left="0" w:right="0" w:firstLine="576"/>
        <w:jc w:val="left"/>
      </w:pPr>
      <w:r>
        <w:rPr/>
        <w:t xml:space="preserve">(i) The detached accessory dwelling unit may not be located on a parcel that uses a water source that is closed to further appropriation.</w:t>
      </w:r>
    </w:p>
    <w:p>
      <w:pPr>
        <w:spacing w:before="0" w:after="0" w:line="408" w:lineRule="exact"/>
        <w:ind w:left="0" w:right="0" w:firstLine="576"/>
        <w:jc w:val="left"/>
      </w:pPr>
      <w:r>
        <w:rPr/>
        <w:t xml:space="preserve">(ii) The detached accessory dwelling unit must use water that is part of the water right for the primary dwelling.</w:t>
      </w:r>
    </w:p>
    <w:p>
      <w:pPr>
        <w:spacing w:before="0" w:after="0" w:line="408" w:lineRule="exact"/>
        <w:ind w:left="0" w:right="0" w:firstLine="576"/>
        <w:jc w:val="left"/>
      </w:pPr>
      <w:r>
        <w:rPr/>
        <w:t xml:space="preserve">(iii) Withdrawals of water by each dwelling unit on the parcel must be metered.</w:t>
      </w:r>
    </w:p>
    <w:p>
      <w:pPr>
        <w:spacing w:before="0" w:after="0" w:line="408" w:lineRule="exact"/>
        <w:ind w:left="0" w:right="0" w:firstLine="576"/>
        <w:jc w:val="left"/>
      </w:pPr>
      <w:r>
        <w:rPr/>
        <w:t xml:space="preserve">(c) The detached accessory dwelling unit may not be located within, or encroach upon, any existing buffers around critical areas.</w:t>
      </w:r>
    </w:p>
    <w:p>
      <w:pPr>
        <w:spacing w:before="0" w:after="0" w:line="408" w:lineRule="exact"/>
        <w:ind w:left="0" w:right="0" w:firstLine="576"/>
        <w:jc w:val="left"/>
      </w:pPr>
      <w:r>
        <w:rPr/>
        <w:t xml:space="preserve">(d)(i) The building permit applicant for the detached accessory dwelling unit must provide documentation demonstrating that the existing or proposed sewage, septic, or on-site sewage system can handle the additional demand placed upon it by the detached accessory dwelling unit.</w:t>
      </w:r>
    </w:p>
    <w:p>
      <w:pPr>
        <w:spacing w:before="0" w:after="0" w:line="408" w:lineRule="exact"/>
        <w:ind w:left="0" w:right="0" w:firstLine="576"/>
        <w:jc w:val="left"/>
      </w:pPr>
      <w:r>
        <w:rPr/>
        <w:t xml:space="preserve">(ii) If the detached accessory dwelling unit will be connected to an existing septic or on-site sewage system, the septic or on-site sewage system must be inspected, prior to issuance of the building permit, by a licensed contractor to ensure that the system is in good working order and capable of handling the increased demand placed upon it by the detached accessory dwelling unit.</w:t>
      </w:r>
    </w:p>
    <w:p>
      <w:pPr>
        <w:spacing w:before="0" w:after="0" w:line="408" w:lineRule="exact"/>
        <w:ind w:left="0" w:right="0" w:firstLine="576"/>
        <w:jc w:val="left"/>
      </w:pPr>
      <w:r>
        <w:rPr/>
        <w:t xml:space="preserve">(e) The floor area of the detached accessory dwelling unit may not exceed 1,296 square feet, or the square footage that could be authorized by the county as an expansion of the primary dwelling to create an attached accessory dwelling unit, whichever is less. The floor area does not include garages, porches, and unfinished basements.</w:t>
      </w:r>
    </w:p>
    <w:p>
      <w:pPr>
        <w:spacing w:before="0" w:after="0" w:line="408" w:lineRule="exact"/>
        <w:ind w:left="0" w:right="0" w:firstLine="576"/>
        <w:jc w:val="left"/>
      </w:pPr>
      <w:r>
        <w:rPr/>
        <w:t xml:space="preserve">(f) The detached accessory dwelling unit must be constructed such that exterior materials, roof form, window spacing, and proportions approximate those of the primary dwelling, except if the detached accessory dwelling unit is a mobile home or manufactured home.</w:t>
      </w:r>
    </w:p>
    <w:p>
      <w:pPr>
        <w:spacing w:before="0" w:after="0" w:line="408" w:lineRule="exact"/>
        <w:ind w:left="0" w:right="0" w:firstLine="576"/>
        <w:jc w:val="left"/>
      </w:pPr>
      <w:r>
        <w:rPr/>
        <w:t xml:space="preserve">(g) The detached accessory dwelling unit must use the same driveway as the primary dwelling.</w:t>
      </w:r>
    </w:p>
    <w:p>
      <w:pPr>
        <w:spacing w:before="0" w:after="0" w:line="408" w:lineRule="exact"/>
        <w:ind w:left="0" w:right="0" w:firstLine="576"/>
        <w:jc w:val="left"/>
      </w:pPr>
      <w:r>
        <w:rPr/>
        <w:t xml:space="preserve">(h) The detached accessory dwelling unit must be sited to prevent loss of land that is defined as "agricultural land" or "forestland" under this chapter.</w:t>
      </w:r>
    </w:p>
    <w:p>
      <w:pPr>
        <w:spacing w:before="0" w:after="0" w:line="408" w:lineRule="exact"/>
        <w:ind w:left="0" w:right="0" w:firstLine="576"/>
        <w:jc w:val="left"/>
      </w:pPr>
      <w:r>
        <w:rPr/>
        <w:t xml:space="preserve">(i) A parcel may not be subdivided for the purposes of avoiding the limits on development regulations described in this subsection.</w:t>
      </w:r>
    </w:p>
    <w:p>
      <w:pPr>
        <w:spacing w:before="0" w:after="0" w:line="408" w:lineRule="exact"/>
        <w:ind w:left="0" w:right="0" w:firstLine="576"/>
        <w:jc w:val="left"/>
      </w:pPr>
      <w:r>
        <w:rPr/>
        <w:t xml:space="preserve">(2) Subsection (1) of this section is cumulative to other county authority enumerated in this chapter and does not:</w:t>
      </w:r>
    </w:p>
    <w:p>
      <w:pPr>
        <w:spacing w:before="0" w:after="0" w:line="408" w:lineRule="exact"/>
        <w:ind w:left="0" w:right="0" w:firstLine="576"/>
        <w:jc w:val="left"/>
      </w:pPr>
      <w:r>
        <w:rPr/>
        <w:t xml:space="preserve">(a) Affect or modify the validity of any county ordinance authorizing accessory dwelling units adopted prior to the effective date of this section;</w:t>
      </w:r>
    </w:p>
    <w:p>
      <w:pPr>
        <w:spacing w:before="0" w:after="0" w:line="408" w:lineRule="exact"/>
        <w:ind w:left="0" w:right="0" w:firstLine="576"/>
        <w:jc w:val="left"/>
      </w:pPr>
      <w:r>
        <w:rPr/>
        <w:t xml:space="preserve">(b) Exclude other means of authorizing accessory dwelling units in urban or rural areas, if consistent with this section; or</w:t>
      </w:r>
    </w:p>
    <w:p>
      <w:pPr>
        <w:spacing w:before="0" w:after="0" w:line="408" w:lineRule="exact"/>
        <w:ind w:left="0" w:right="0" w:firstLine="576"/>
        <w:jc w:val="left"/>
      </w:pPr>
      <w:r>
        <w:rPr/>
        <w:t xml:space="preserve">(c) Exclude other innovative techniques under RCW 36.70A.070(5)(b), 36.70A.090, or 36.70A.177, if consistent with this section.</w:t>
      </w:r>
    </w:p>
    <w:p>
      <w:pPr>
        <w:spacing w:before="0" w:after="0" w:line="408" w:lineRule="exact"/>
        <w:ind w:left="0" w:right="0" w:firstLine="576"/>
        <w:jc w:val="left"/>
      </w:pPr>
      <w:r>
        <w:rPr/>
        <w:t xml:space="preserve">(3) The comprehensive plan, countywide planning policy, or multicounty planning policy for any county that authorizes the development of detached accessory dwelling units in rural areas under subsection (1) of this section must be amended, at its next regularly scheduled update, to allow development of detached accessory dwelling units in rural areas consistent with subsection (1) of this section.</w:t>
      </w:r>
    </w:p>
    <w:p>
      <w:pPr>
        <w:spacing w:before="0" w:after="0" w:line="408" w:lineRule="exact"/>
        <w:ind w:left="0" w:right="0" w:firstLine="576"/>
        <w:jc w:val="left"/>
      </w:pPr>
      <w:r>
        <w:rPr/>
        <w:t xml:space="preserve">(4) Population growth from the development of detached accessory dwelling units that comply with the requirements of subsection (1) of this section may not be counted for the purpose of determining whether a county is achieving rural or urban growth targets contained in a comprehensive plan, countywide planning policy, or multicounty planning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2023 c 334 s 2 are each amended to read as follows:</w:t>
      </w:r>
    </w:p>
    <w:p>
      <w:pPr>
        <w:spacing w:before="0" w:after="0" w:line="408" w:lineRule="exact"/>
        <w:ind w:left="0" w:right="0" w:firstLine="576"/>
        <w:jc w:val="left"/>
      </w:pPr>
      <w:r>
        <w:rPr/>
        <w:t xml:space="preserve">The definitions in this section apply throughout RCW 36.70A.697, 36.70A.698, 36.70A.680, </w:t>
      </w:r>
      <w:r>
        <w:t>((</w:t>
      </w:r>
      <w:r>
        <w:rPr>
          <w:strike/>
        </w:rPr>
        <w:t xml:space="preserve">and</w:t>
      </w:r>
      <w:r>
        <w:t>))</w:t>
      </w:r>
      <w:r>
        <w:rPr/>
        <w:t xml:space="preserve"> 36.70A.681</w:t>
      </w:r>
      <w:r>
        <w:rPr>
          <w:u w:val="single"/>
        </w:rPr>
        <w:t xml:space="preserve">, and section 1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rPr/>
        <w:t xml:space="preserve">(9) "Owner" means any person who has at least 50 percent ownership in a property on which an accessory dwelling unit is located.</w:t>
      </w:r>
    </w:p>
    <w:p>
      <w:pPr>
        <w:spacing w:before="0" w:after="0" w:line="408" w:lineRule="exact"/>
        <w:ind w:left="0" w:right="0" w:firstLine="576"/>
        <w:jc w:val="left"/>
      </w:pPr>
      <w:r>
        <w:rPr/>
        <w:t xml:space="preserve">(10) "Principal unit" means the single-family housing unit, duplex, triplex, townhome, or other housing unit located on the same lot as an accessory dwelling unit.</w:t>
      </w:r>
    </w:p>
    <w:p>
      <w:pPr>
        <w:spacing w:before="0" w:after="0" w:line="408" w:lineRule="exact"/>
        <w:ind w:left="0" w:right="0" w:firstLine="576"/>
        <w:jc w:val="left"/>
      </w:pPr>
      <w:r>
        <w:rPr/>
        <w:t xml:space="preserve">(11)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may use a variety of innovative zoning techniques in areas designated as agricultural lands of long-term commercial significance under RCW 36.70A.170. The innovative zoning techniques should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and</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 Nonagricultural accessory uses and activities, including new buildings, parking, or supportive uses, shall not be located outside the general area already developed for buildings and residential uses and shall not otherwise convert more than one acre of agricultural land to nonagricultural uses;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This section shall not be interpreted to limit agricultural production on designated agricultural lands.</w:t>
      </w:r>
    </w:p>
    <w:p>
      <w:pPr>
        <w:spacing w:before="0" w:after="0" w:line="408" w:lineRule="exact"/>
        <w:ind w:left="0" w:right="0" w:firstLine="576"/>
        <w:jc w:val="left"/>
      </w:pPr>
      <w:r>
        <w:rPr>
          <w:u w:val="single"/>
        </w:rPr>
        <w:t xml:space="preserve">(5) This section may not be interpreted to limit the development of detached accessory dwelling units that comply with the requirements of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2023 c 280 s 1 and 2023 c 228 s 15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w:t>
      </w:r>
      <w:r>
        <w:t>((</w:t>
      </w:r>
      <w:r>
        <w:rPr>
          <w:strike/>
        </w:rPr>
        <w:t xml:space="preserve">[a]</w:t>
      </w:r>
      <w:r>
        <w:t>))</w:t>
      </w:r>
      <w:r>
        <w:rPr/>
        <w:t xml:space="preserve"> </w:t>
      </w:r>
      <w:r>
        <w:rPr>
          <w:u w:val="single"/>
        </w:rPr>
        <w:t xml:space="preserve">a</w:t>
      </w:r>
      <w:r>
        <w:rPr/>
        <w:t xml:space="preserve">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 </w:t>
      </w:r>
      <w:r>
        <w:rPr>
          <w:u w:val="single"/>
        </w:rPr>
        <w:t xml:space="preserve">Population growth from the development of detached accessory dwelling units that comply with the requirements of section 2(1) of this act may not be counted for the purpose of determining whether a county is achieving rural or urban growth targets contained in a comprehensive plan.</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0" w:after="0" w:line="408" w:lineRule="exact"/>
        <w:ind w:left="0" w:right="0" w:firstLine="576"/>
        <w:jc w:val="left"/>
      </w:pPr>
      <w:r>
        <w:rPr>
          <w:u w:val="single"/>
        </w:rPr>
        <w:t xml:space="preserve">(11) Any county that authorizes the development of detached accessory dwelling units in rural areas under section 2 of this act must revise its comprehensive plan, at its next regularly scheduled update, to allow development of detached accessory dwelling units in rural areas 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2022 c 252 s 6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w:t>
      </w:r>
      <w:r>
        <w:t>((</w:t>
      </w:r>
      <w:r>
        <w:rPr>
          <w:strike/>
        </w:rPr>
        <w:t xml:space="preserve">sixty</w:t>
      </w:r>
      <w:r>
        <w:t>))</w:t>
      </w:r>
      <w:r>
        <w:rPr/>
        <w:t xml:space="preserve"> </w:t>
      </w:r>
      <w:r>
        <w:rPr>
          <w:u w:val="single"/>
        </w:rPr>
        <w:t xml:space="preserve">60</w:t>
      </w:r>
      <w:r>
        <w:rPr/>
        <w:t xml:space="preserve">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w:t>
      </w:r>
      <w:r>
        <w:t>((</w:t>
      </w:r>
      <w:r>
        <w:rPr>
          <w:strike/>
        </w:rPr>
        <w:t xml:space="preserve">sixty</w:t>
      </w:r>
      <w:r>
        <w:t>))</w:t>
      </w:r>
      <w:r>
        <w:rPr/>
        <w:t xml:space="preserve"> </w:t>
      </w:r>
      <w:r>
        <w:rPr>
          <w:u w:val="single"/>
        </w:rPr>
        <w:t xml:space="preserve">60</w:t>
      </w:r>
      <w:r>
        <w:rPr/>
        <w:t xml:space="preserve">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w:t>
      </w:r>
      <w:r>
        <w:t>((</w:t>
      </w:r>
      <w:r>
        <w:rPr>
          <w:strike/>
        </w:rPr>
        <w:t xml:space="preserve">one hundred twenty</w:t>
      </w:r>
      <w:r>
        <w:t>))</w:t>
      </w:r>
      <w:r>
        <w:rPr/>
        <w:t xml:space="preserve"> </w:t>
      </w:r>
      <w:r>
        <w:rPr>
          <w:u w:val="single"/>
        </w:rPr>
        <w:t xml:space="preserve">120</w:t>
      </w:r>
      <w:r>
        <w:rPr/>
        <w:t xml:space="preserve">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commerce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w:t>
      </w:r>
      <w:r>
        <w:t>((</w:t>
      </w:r>
      <w:r>
        <w:rPr>
          <w:strike/>
        </w:rPr>
        <w:t xml:space="preserve">fourteen</w:t>
      </w:r>
      <w:r>
        <w:t>))</w:t>
      </w:r>
      <w:r>
        <w:rPr/>
        <w:t xml:space="preserve"> </w:t>
      </w:r>
      <w:r>
        <w:rPr>
          <w:u w:val="single"/>
        </w:rPr>
        <w:t xml:space="preserve">14</w:t>
      </w:r>
      <w:r>
        <w:rPr/>
        <w:t xml:space="preserve">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w:t>
      </w:r>
    </w:p>
    <w:p>
      <w:pPr>
        <w:spacing w:before="0" w:after="0" w:line="408" w:lineRule="exact"/>
        <w:ind w:left="0" w:right="0" w:firstLine="576"/>
        <w:jc w:val="left"/>
      </w:pPr>
      <w:r>
        <w:rPr/>
        <w:t xml:space="preserve">(h) An analysis of the fiscal impact; and</w:t>
      </w:r>
    </w:p>
    <w:p>
      <w:pPr>
        <w:spacing w:before="0" w:after="0" w:line="408" w:lineRule="exact"/>
        <w:ind w:left="0" w:right="0" w:firstLine="576"/>
        <w:jc w:val="left"/>
      </w:pPr>
      <w:r>
        <w:rPr/>
        <w:t xml:space="preserve">(i) Policies that address the protection of tribal cultural resources in collaboration with federally recognized Indian tribes that are invited pursuant to subsection (4) of this section, provided that a tribe, or more than one tribe, chooses to participate in the process.</w:t>
      </w:r>
    </w:p>
    <w:p>
      <w:pPr>
        <w:spacing w:before="0" w:after="0" w:line="408" w:lineRule="exact"/>
        <w:ind w:left="0" w:right="0" w:firstLine="576"/>
        <w:jc w:val="left"/>
      </w:pPr>
      <w:r>
        <w:rPr/>
        <w:t xml:space="preserve">(4) Federal agencies and federally recognized Indian tribes whose reservation or ceded lands lie within the county shall be invited to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w:t>
      </w:r>
      <w:r>
        <w:t>((</w:t>
      </w:r>
      <w:r>
        <w:rPr>
          <w:strike/>
        </w:rPr>
        <w:t xml:space="preserve">sixty</w:t>
      </w:r>
      <w:r>
        <w:t>))</w:t>
      </w:r>
      <w:r>
        <w:rPr/>
        <w:t xml:space="preserve"> </w:t>
      </w:r>
      <w:r>
        <w:rPr>
          <w:u w:val="single"/>
        </w:rPr>
        <w:t xml:space="preserve">60</w:t>
      </w:r>
      <w:r>
        <w:rPr/>
        <w:t xml:space="preserve">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w:t>
      </w:r>
      <w:r>
        <w:t>((</w:t>
      </w:r>
      <w:r>
        <w:rPr>
          <w:strike/>
        </w:rPr>
        <w:t xml:space="preserve">four hundred fifty thousand</w:t>
      </w:r>
      <w:r>
        <w:t>))</w:t>
      </w:r>
      <w:r>
        <w:rPr/>
        <w:t xml:space="preserve"> </w:t>
      </w:r>
      <w:r>
        <w:rPr>
          <w:u w:val="single"/>
        </w:rPr>
        <w:t xml:space="preserve">450,000</w:t>
      </w:r>
      <w:r>
        <w:rPr/>
        <w:t xml:space="preserve"> or more, with contiguous urban areas and may be adopted by other counties, according to the process established under this section or other processes agreed to among the counties and cities within the affected counties throughout the multicounty region.</w:t>
      </w:r>
    </w:p>
    <w:p>
      <w:pPr>
        <w:spacing w:before="0" w:after="0" w:line="408" w:lineRule="exact"/>
        <w:ind w:left="0" w:right="0" w:firstLine="576"/>
        <w:jc w:val="left"/>
      </w:pPr>
      <w:r>
        <w:rPr>
          <w:u w:val="single"/>
        </w:rPr>
        <w:t xml:space="preserve">(8) The countywide planning policy or multicounty planning policy for any county that authorizes the development of detached accessory dwelling units in rural areas under section 2 of this act must be amended, at its next regularly scheduled update, to allow development of detached accessory dwelling units in rural areas consistent with section 2 of this act. Population growth from the development of detached accessory dwelling units that comply with the requirements of section 2(1) of this act may not be counted for the purpose of determining whether a county is achieving rural or urban growth targets contained in a countywide planning policy or multicounty planning policy.</w:t>
      </w:r>
    </w:p>
    <w:p/>
    <w:p>
      <w:pPr>
        <w:jc w:val="center"/>
      </w:pPr>
      <w:r>
        <w:rPr>
          <w:b/>
        </w:rPr>
        <w:t>--- END ---</w:t>
      </w:r>
    </w:p>
    <w:sectPr>
      <w:pgNumType w:start="1"/>
      <w:footerReference xmlns:r="http://schemas.openxmlformats.org/officeDocument/2006/relationships" r:id="Rfc4566d037f348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d647eeaa774640" /><Relationship Type="http://schemas.openxmlformats.org/officeDocument/2006/relationships/footer" Target="/word/footer1.xml" Id="Rfc4566d037f34810" /></Relationships>
</file>