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ec32c19b84c53" /></Relationships>
</file>

<file path=word/document.xml><?xml version="1.0" encoding="utf-8"?>
<w:document xmlns:w="http://schemas.openxmlformats.org/wordprocessingml/2006/main">
  <w:body>
    <w:p>
      <w:r>
        <w:t>H-2357.1</w:t>
      </w:r>
    </w:p>
    <w:p>
      <w:pPr>
        <w:jc w:val="center"/>
      </w:pPr>
      <w:r>
        <w:t>_______________________________________________</w:t>
      </w:r>
    </w:p>
    <w:p/>
    <w:p>
      <w:pPr>
        <w:jc w:val="center"/>
      </w:pPr>
      <w:r>
        <w:rPr>
          <w:b/>
        </w:rPr>
        <w:t>HOUSE BILL 2206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Cheney, Low, Couture, and Hutchins</w:t>
      </w:r>
    </w:p>
    <w:p/>
    <w:p>
      <w:r>
        <w:rPr>
          <w:t xml:space="preserve">Read first time 01/09/24.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secure online access to the voter registration database; amending RCW 29A.08.125;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2023 c 466 s 5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serving a sentence of total confinement as the result of a felony conviction, lack of citizenship, or a court finding of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w:t>
      </w:r>
    </w:p>
    <w:p>
      <w:pPr>
        <w:spacing w:before="0" w:after="0" w:line="408" w:lineRule="exact"/>
        <w:ind w:left="0" w:right="0" w:firstLine="576"/>
        <w:jc w:val="left"/>
      </w:pPr>
      <w:r>
        <w:rPr/>
        <w:t xml:space="preserve">(h) Provide for the cancellation of registrations of voters who have moved out of state; </w:t>
      </w:r>
      <w:r>
        <w:t>((</w:t>
      </w:r>
      <w:r>
        <w:rPr>
          <w:strike/>
        </w:rPr>
        <w:t xml:space="preserve">and</w:t>
      </w:r>
      <w:r>
        <w:t>))</w:t>
      </w:r>
    </w:p>
    <w:p>
      <w:pPr>
        <w:spacing w:before="0" w:after="0" w:line="408" w:lineRule="exact"/>
        <w:ind w:left="0" w:right="0" w:firstLine="576"/>
        <w:jc w:val="left"/>
      </w:pPr>
      <w:r>
        <w:rPr/>
        <w:t xml:space="preserve">(i) Provide for the storage of pending registration records for all future voters who have not yet reached </w:t>
      </w:r>
      <w:r>
        <w:t>((</w:t>
      </w:r>
      <w:r>
        <w:rPr>
          <w:strike/>
        </w:rPr>
        <w:t xml:space="preserve">eighteen</w:t>
      </w:r>
      <w:r>
        <w:t>))</w:t>
      </w:r>
      <w:r>
        <w:rPr/>
        <w:t xml:space="preserve"> </w:t>
      </w:r>
      <w:r>
        <w:rPr>
          <w:u w:val="single"/>
        </w:rPr>
        <w:t xml:space="preserve">18</w:t>
      </w:r>
      <w:r>
        <w:rPr/>
        <w:t xml:space="preserve"> years of age in a manner that these records will not appear on the official list of registered voters until the future registrant is no longer in pending status as defined under RCW 29A.08.615</w:t>
      </w:r>
      <w:r>
        <w:rPr>
          <w:u w:val="single"/>
        </w:rPr>
        <w:t xml:space="preserve">; and</w:t>
      </w:r>
    </w:p>
    <w:p>
      <w:pPr>
        <w:spacing w:before="0" w:after="0" w:line="408" w:lineRule="exact"/>
        <w:ind w:left="0" w:right="0" w:firstLine="576"/>
        <w:jc w:val="left"/>
      </w:pPr>
      <w:r>
        <w:rPr>
          <w:u w:val="single"/>
        </w:rPr>
        <w:t xml:space="preserve">(j) Provide secure online access to voters for printing replacement ballots and updating voter registration information. The secure online voter access must use an individual verification system for each voter to access their voter profile within the database. The individualized verification system must be secure, unique to each voter, not connected to the voter identification or any other information specific to that voter, and must enable a process through which the voter may remedy a forgotten or lost password, pin, or other verification method. The verification system is not subject to disclosure under chapter 42.56 RCW</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23, 2024.</w:t>
      </w:r>
    </w:p>
    <w:p/>
    <w:p>
      <w:pPr>
        <w:jc w:val="center"/>
      </w:pPr>
      <w:r>
        <w:rPr>
          <w:b/>
        </w:rPr>
        <w:t>--- END ---</w:t>
      </w:r>
    </w:p>
    <w:sectPr>
      <w:pgNumType w:start="1"/>
      <w:footerReference xmlns:r="http://schemas.openxmlformats.org/officeDocument/2006/relationships" r:id="R93cf92f7880549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c49d9017f64984" /><Relationship Type="http://schemas.openxmlformats.org/officeDocument/2006/relationships/footer" Target="/word/footer1.xml" Id="R93cf92f788054989" /></Relationships>
</file>