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2d8d5e43c442f5" /></Relationships>
</file>

<file path=word/document.xml><?xml version="1.0" encoding="utf-8"?>
<w:document xmlns:w="http://schemas.openxmlformats.org/wordprocessingml/2006/main">
  <w:body>
    <w:p>
      <w:r>
        <w:t>H-2446.2</w:t>
      </w:r>
    </w:p>
    <w:p>
      <w:pPr>
        <w:jc w:val="center"/>
      </w:pPr>
      <w:r>
        <w:t>_______________________________________________</w:t>
      </w:r>
    </w:p>
    <w:p/>
    <w:p>
      <w:pPr>
        <w:jc w:val="center"/>
      </w:pPr>
      <w:r>
        <w:rPr>
          <w:b/>
        </w:rPr>
        <w:t>HOUSE BILL 2213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Cheney, Taylor, Duerr, and Graham</w:t>
      </w:r>
    </w:p>
    <w:p/>
    <w:p>
      <w:r>
        <w:rPr>
          <w:t xml:space="preserve">Read first time 01/09/24.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defects and omissions in the laws that have been identified by the justices of the supreme court or judges of the superior courts pursuant to Article IV, section 25 of the state Constitution; amending RCW 10.116.030, 13.04.030, 21.20.380, and 29A.80.061; reenacting and amending RCW 10.95.030; creating a new section; repealing RCW 9.68.060, 9.68.070, and 9.68.090; and repealing 2020 c 1 ss 1, 2, 3, 4, 5, 6, 7, 8, 9, 10, 11, 12, 13, 14, 15, 16, and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2023 c 102 s 23 and 2023 c 102 s 20 are each reenacted and amended to read as follows:</w:t>
      </w:r>
    </w:p>
    <w:p>
      <w:pPr>
        <w:spacing w:before="0" w:after="0" w:line="408" w:lineRule="exact"/>
        <w:ind w:left="0" w:right="0" w:firstLine="576"/>
        <w:jc w:val="left"/>
      </w:pPr>
      <w:r>
        <w:rPr/>
        <w:t xml:space="preserve">(1) Except as provided in subsection (2)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16th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16</w:t>
      </w:r>
      <w:r>
        <w:rPr/>
        <w:t xml:space="preserve"> years old but less than </w:t>
      </w:r>
      <w:r>
        <w:t>((</w:t>
      </w:r>
      <w:r>
        <w:rPr>
          <w:strike/>
        </w:rPr>
        <w:t xml:space="preserve">eighteen</w:t>
      </w:r>
      <w:r>
        <w:t>))</w:t>
      </w:r>
      <w:r>
        <w:rPr/>
        <w:t xml:space="preserve"> </w:t>
      </w:r>
      <w:r>
        <w:rPr>
          <w:u w:val="single"/>
        </w:rPr>
        <w:t xml:space="preserve">21</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9.94A.728(1)(c).</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030</w:t>
      </w:r>
      <w:r>
        <w:rPr/>
        <w:t xml:space="preserve"> and 2021 c 320 s 4 are each amended to read as follows:</w:t>
      </w:r>
    </w:p>
    <w:p>
      <w:pPr>
        <w:spacing w:before="0" w:after="0" w:line="408" w:lineRule="exact"/>
        <w:ind w:left="0" w:right="0" w:firstLine="576"/>
        <w:jc w:val="left"/>
      </w:pPr>
      <w:r>
        <w:rPr/>
        <w:t xml:space="preserve">(1) A law enforcement agency may not use or authorize its peace officers or other employees to use tear gas unless necessary to alleviate a present risk of serious harm posed by a: (a) Riot; (b) barricaded subject; or (c) hostage situation.</w:t>
      </w:r>
    </w:p>
    <w:p>
      <w:pPr>
        <w:spacing w:before="0" w:after="0" w:line="408" w:lineRule="exact"/>
        <w:ind w:left="0" w:right="0" w:firstLine="576"/>
        <w:jc w:val="left"/>
      </w:pPr>
      <w:r>
        <w:rPr/>
        <w:t xml:space="preserve">(2) Prior to using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In the case of a riot outside of a correctional, jail, or detention facility, the officer or employee may use tear gas only after: (a) Receiving authorization from the highest elected official of the jurisdiction in which the tear gas is to be used, and (b) meeting the requirements of subsection (2)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"Highest elected official" means the county executive in those charter counties with an elective office of county executive, however designated, and in the case of other counties, the </w:t>
      </w:r>
      <w:r>
        <w:t>((</w:t>
      </w:r>
      <w:r>
        <w:rPr>
          <w:strike/>
        </w:rPr>
        <w:t xml:space="preserve">chair of the county legislative authority</w:t>
      </w:r>
      <w:r>
        <w:t>))</w:t>
      </w:r>
      <w:r>
        <w:rPr/>
        <w:t xml:space="preserve"> </w:t>
      </w:r>
      <w:r>
        <w:rPr>
          <w:u w:val="single"/>
        </w:rPr>
        <w:t xml:space="preserve">county sheriff</w:t>
      </w:r>
      <w:r>
        <w:rPr/>
        <w:t xml:space="preserve">. In the case of cities and towns, it means the mayor, regardless of whether the mayor is directly elected, selected by the council or legislative body pursuant to RCW 35.18.190 or 35A.13.030, or selected according to a process in an established city charter. In the case of actions by the Washington state patrol, it means the governor.</w:t>
      </w:r>
    </w:p>
    <w:p>
      <w:pPr>
        <w:spacing w:before="0" w:after="0" w:line="408" w:lineRule="exact"/>
        <w:ind w:left="0" w:right="0" w:firstLine="576"/>
        <w:jc w:val="left"/>
      </w:pPr>
      <w:r>
        <w:rPr/>
        <w:t xml:space="preserve">(c) "Hostage situation" means a scenario in which a person is being held against his or her will by an armed, potentially armed, or otherwise dangerous suspect.</w:t>
      </w:r>
    </w:p>
    <w:p>
      <w:pPr>
        <w:spacing w:before="0" w:after="0" w:line="408" w:lineRule="exact"/>
        <w:ind w:left="0" w:right="0" w:firstLine="576"/>
        <w:jc w:val="left"/>
      </w:pPr>
      <w:r>
        <w:rPr/>
        <w:t xml:space="preserve">(d)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2022 c 243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w:t>
      </w:r>
      <w:r>
        <w:t>((</w:t>
      </w:r>
      <w:r>
        <w:rPr>
          <w:strike/>
        </w:rPr>
        <w:t xml:space="preserve">sixteen</w:t>
      </w:r>
      <w:r>
        <w:t>))</w:t>
      </w:r>
      <w:r>
        <w:rPr/>
        <w:t xml:space="preserve"> </w:t>
      </w:r>
      <w:r>
        <w:rPr>
          <w:u w:val="single"/>
        </w:rPr>
        <w:t xml:space="preserve">16</w:t>
      </w:r>
      <w:r>
        <w:rPr/>
        <w:t xml:space="preserve">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w:t>
      </w:r>
      <w:r>
        <w:t>((</w:t>
      </w:r>
      <w:r>
        <w:rPr>
          <w:strike/>
        </w:rPr>
        <w:t xml:space="preserve">sixteen</w:t>
      </w:r>
      <w:r>
        <w:t>))</w:t>
      </w:r>
      <w:r>
        <w:rPr/>
        <w:t xml:space="preserve"> </w:t>
      </w:r>
      <w:r>
        <w:rPr>
          <w:u w:val="single"/>
        </w:rPr>
        <w:t xml:space="preserve">16</w:t>
      </w:r>
      <w:r>
        <w:rPr/>
        <w:t xml:space="preserve"> or </w:t>
      </w:r>
      <w:r>
        <w:t>((</w:t>
      </w:r>
      <w:r>
        <w:rPr>
          <w:strike/>
        </w:rPr>
        <w:t xml:space="preserve">seventeen</w:t>
      </w:r>
      <w:r>
        <w:t>))</w:t>
      </w:r>
      <w:r>
        <w:rPr/>
        <w:t xml:space="preserve"> </w:t>
      </w:r>
      <w:r>
        <w:rPr>
          <w:u w:val="single"/>
        </w:rPr>
        <w:t xml:space="preserve">17</w:t>
      </w:r>
      <w:r>
        <w:rPr/>
        <w:t xml:space="preserve">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w:t>
      </w:r>
      <w:r>
        <w:t>((</w:t>
      </w:r>
      <w:r>
        <w:rPr>
          <w:strike/>
        </w:rPr>
        <w:t xml:space="preserve">thirteenth</w:t>
      </w:r>
      <w:r>
        <w:t>))</w:t>
      </w:r>
      <w:r>
        <w:rPr/>
        <w:t xml:space="preserve"> </w:t>
      </w:r>
      <w:r>
        <w:rPr>
          <w:u w:val="single"/>
        </w:rPr>
        <w:t xml:space="preserve">13th</w:t>
      </w:r>
      <w:r>
        <w:rPr/>
        <w:t xml:space="preserve">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maintain residual juvenile court jurisdiction up to age </w:t>
      </w:r>
      <w:r>
        <w:t>((</w:t>
      </w:r>
      <w:r>
        <w:rPr>
          <w:strike/>
        </w:rPr>
        <w:t xml:space="preserve">twenty-five</w:t>
      </w:r>
      <w:r>
        <w:t>))</w:t>
      </w:r>
      <w:r>
        <w:rPr/>
        <w:t xml:space="preserve"> </w:t>
      </w:r>
      <w:r>
        <w:rPr>
          <w:u w:val="single"/>
        </w:rPr>
        <w:t xml:space="preserve">25</w:t>
      </w:r>
      <w:r>
        <w:rPr/>
        <w:t xml:space="preserve"> if the juvenile has turned </w:t>
      </w:r>
      <w:r>
        <w:t>((</w:t>
      </w:r>
      <w:r>
        <w:rPr>
          <w:strike/>
        </w:rPr>
        <w:t xml:space="preserve">eighteen</w:t>
      </w:r>
      <w:r>
        <w:t>))</w:t>
      </w:r>
      <w:r>
        <w:rPr/>
        <w:t xml:space="preserve"> </w:t>
      </w:r>
      <w:r>
        <w:rPr>
          <w:u w:val="single"/>
        </w:rPr>
        <w:t xml:space="preserve">18</w:t>
      </w:r>
      <w:r>
        <w:rPr/>
        <w:t xml:space="preserve"> years of age during the adult criminal court proceedings but only for the purpose of returning a case to juvenile court for disposition pursuant to RCW 13.40.300(3)(d).</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or probate court over minor guardianship proceedings under chapter 11.130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0" w:after="0" w:line="408" w:lineRule="exact"/>
        <w:ind w:left="0" w:right="0" w:firstLine="576"/>
        <w:jc w:val="left"/>
      </w:pPr>
      <w:r>
        <w:rPr>
          <w:u w:val="single"/>
        </w:rPr>
        <w:t xml:space="preserve">(5) Nothing in subsection (1) of this section deprives the superior courts in this state of original jurisdiction granted by the Constitution or by other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380</w:t>
      </w:r>
      <w:r>
        <w:rPr/>
        <w:t xml:space="preserve"> and 2002 c 65 s 7 are each amended to read as follows:</w:t>
      </w:r>
    </w:p>
    <w:p>
      <w:pPr>
        <w:spacing w:before="0" w:after="0" w:line="408" w:lineRule="exact"/>
        <w:ind w:left="0" w:right="0" w:firstLine="576"/>
        <w:jc w:val="left"/>
      </w:pPr>
      <w:r>
        <w:rPr/>
        <w:t xml:space="preserve">(1) For the purpose of any investigation or proceeding under this chapter, the director or any officer designated by the director may administer oaths and affirmations, subpoena witnesses, compel their attendance, take evidence, and require the production of any books, papers, correspondence, memoranda, agreements, or other documents or records which the director deems relevant or material to the inquiry.</w:t>
      </w:r>
    </w:p>
    <w:p>
      <w:pPr>
        <w:spacing w:before="0" w:after="0" w:line="408" w:lineRule="exact"/>
        <w:ind w:left="0" w:right="0" w:firstLine="576"/>
        <w:jc w:val="left"/>
      </w:pPr>
      <w:r>
        <w:rPr/>
        <w:t xml:space="preserve">(2) If the activities constituting an alleged violation for which the information is sought would be a violation of this chapter had the activities occurred in this state, the director may issue and apply to enforce subpoenas in this state at the request of a securities agency or administrator of another state.</w:t>
      </w:r>
    </w:p>
    <w:p>
      <w:pPr>
        <w:spacing w:before="0" w:after="0" w:line="408" w:lineRule="exact"/>
        <w:ind w:left="0" w:right="0" w:firstLine="576"/>
        <w:jc w:val="left"/>
      </w:pPr>
      <w:r>
        <w:rPr/>
        <w:t xml:space="preserve">(3) A subpoena issued to a financial institution under this section may, if the director finds it necessary or appropriate in the public interest or for the protection of investors, include a directive that the financial institution subpoenaed shall not disclose to third parties that are not affiliated with the financial institution, other than to the institution's legal counsel, the existence or content of the subpoena.</w:t>
      </w:r>
    </w:p>
    <w:p>
      <w:pPr>
        <w:spacing w:before="0" w:after="0" w:line="408" w:lineRule="exact"/>
        <w:ind w:left="0" w:right="0" w:firstLine="576"/>
        <w:jc w:val="left"/>
      </w:pPr>
      <w:r>
        <w:rPr/>
        <w:t xml:space="preserve">(4) In case of disobedience on the part of any person to comply with any subpoena lawfully issued by the director, the refusal of any witness to testify to any matters regarding which the witness may be lawfully interrogated, or the failure to comply with a nondisclosure directive under subsection (3) of this section, a court of competent jurisdiction of any county or the judge thereof, on application of the director, and after satisfactory evidence of willful disobedience, may compel obedience by proceedings for contempt, as in the case of disobedience of the requirements of a subpoena issued from such a court on a refusal to testify therein.</w:t>
      </w:r>
    </w:p>
    <w:p>
      <w:pPr>
        <w:spacing w:before="0" w:after="0" w:line="408" w:lineRule="exact"/>
        <w:ind w:left="0" w:right="0" w:firstLine="576"/>
        <w:jc w:val="left"/>
      </w:pPr>
      <w:r>
        <w:rPr>
          <w:u w:val="single"/>
        </w:rPr>
        <w:t xml:space="preserve">(5) Nothing in this section authorizes the director or officers designated by the director to compel the production of customer banking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061</w:t>
      </w:r>
      <w:r>
        <w:rPr/>
        <w:t xml:space="preserve"> and 2004 c 271 s 150 are each amended to read as follows:</w:t>
      </w:r>
    </w:p>
    <w:p>
      <w:pPr>
        <w:spacing w:before="0" w:after="0" w:line="408" w:lineRule="exact"/>
        <w:ind w:left="0" w:right="0" w:firstLine="576"/>
        <w:jc w:val="left"/>
      </w:pPr>
      <w:r>
        <w:rPr/>
        <w:t xml:space="preserve">Within </w:t>
      </w:r>
      <w:r>
        <w:t>((</w:t>
      </w:r>
      <w:r>
        <w:rPr>
          <w:strike/>
        </w:rPr>
        <w:t xml:space="preserve">forty-five</w:t>
      </w:r>
      <w:r>
        <w:t>))</w:t>
      </w:r>
      <w:r>
        <w:rPr/>
        <w:t xml:space="preserve"> </w:t>
      </w:r>
      <w:r>
        <w:rPr>
          <w:u w:val="single"/>
        </w:rPr>
        <w:t xml:space="preserve">45</w:t>
      </w:r>
      <w:r>
        <w:rPr/>
        <w:t xml:space="preserve"> days after the statewide general election in even-numbered years, the county chair of each major political party shall call separate meetings of all elected precinct committee officers in each legislative district for the purpose of </w:t>
      </w:r>
      <w:r>
        <w:t>((</w:t>
      </w:r>
      <w:r>
        <w:rPr>
          <w:strike/>
        </w:rPr>
        <w:t xml:space="preserve">electing</w:t>
      </w:r>
      <w:r>
        <w:t>))</w:t>
      </w:r>
      <w:r>
        <w:rPr/>
        <w:t xml:space="preserve"> </w:t>
      </w:r>
      <w:r>
        <w:rPr>
          <w:u w:val="single"/>
        </w:rPr>
        <w:t xml:space="preserve">selecting</w:t>
      </w:r>
      <w:r>
        <w:rPr/>
        <w:t xml:space="preserve"> a legislative district chair in such district. The district chair shall hold office until the next legislative district reorganizational meeting two years later, or until a successor is </w:t>
      </w:r>
      <w:r>
        <w:t>((</w:t>
      </w:r>
      <w:r>
        <w:rPr>
          <w:strike/>
        </w:rPr>
        <w:t xml:space="preserve">elected</w:t>
      </w:r>
      <w:r>
        <w:t>))</w:t>
      </w:r>
      <w:r>
        <w:rPr/>
        <w:t xml:space="preserve"> </w:t>
      </w:r>
      <w:r>
        <w:rPr>
          <w:u w:val="single"/>
        </w:rPr>
        <w:t xml:space="preserve">selected</w:t>
      </w:r>
      <w:r>
        <w:rPr/>
        <w:t xml:space="preserve">.</w:t>
      </w:r>
    </w:p>
    <w:p>
      <w:pPr>
        <w:spacing w:before="0" w:after="0" w:line="408" w:lineRule="exact"/>
        <w:ind w:left="0" w:right="0" w:firstLine="576"/>
        <w:jc w:val="left"/>
      </w:pPr>
      <w:r>
        <w:rPr/>
        <w:t xml:space="preserve">The legislative district chair may be removed only by the majority vote of the elected precinct committee officers in the chair's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Article IX, section 1 of the state Constitution does not have a section caption in the original source, and that the subsequently added caption of "Preamble" does not accurately describe the section. Therefore, the secretary of state is respectfully requested to publish Article IX, section 1 of the state Constitution without a section caption.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w:t>
      </w:r>
      <w:r>
        <w:rPr/>
        <w:t xml:space="preserve">.</w:t>
      </w:r>
      <w:r>
        <w:t xml:space="preserve">68</w:t>
      </w:r>
      <w:r>
        <w:rPr/>
        <w:t xml:space="preserve">.</w:t>
      </w:r>
      <w:r>
        <w:t xml:space="preserve">060</w:t>
      </w:r>
      <w:r>
        <w:rPr/>
        <w:t xml:space="preserve"> ("Erotic material"</w:t>
      </w:r>
      <w:r>
        <w:rPr>
          <w:rFonts w:ascii="Times New Roman" w:hAnsi="Times New Roman"/>
        </w:rPr>
        <w:t xml:space="preserve">—</w:t>
      </w:r>
      <w:r>
        <w:rPr/>
        <w:t xml:space="preserve">Determination by court</w:t>
      </w:r>
      <w:r>
        <w:rPr>
          <w:rFonts w:ascii="Times New Roman" w:hAnsi="Times New Roman"/>
        </w:rPr>
        <w:t xml:space="preserve">—</w:t>
      </w:r>
      <w:r>
        <w:rPr/>
        <w:t xml:space="preserve">Labeling</w:t>
      </w:r>
      <w:r>
        <w:rPr>
          <w:rFonts w:ascii="Times New Roman" w:hAnsi="Times New Roman"/>
        </w:rPr>
        <w:t xml:space="preserve">—</w:t>
      </w:r>
      <w:r>
        <w:rPr/>
        <w:t xml:space="preserve">Penalties) and 2011 c 96 s 8, 2003 c 53 s 41, 1992 c 5 s 2, &amp; 1969 ex.s. c 256 s 14;</w:t>
      </w:r>
    </w:p>
    <w:p>
      <w:pPr>
        <w:spacing w:before="0" w:after="0" w:line="408" w:lineRule="exact"/>
        <w:ind w:left="0" w:right="0" w:firstLine="576"/>
        <w:jc w:val="left"/>
      </w:pPr>
      <w:r>
        <w:t xml:space="preserve">(2) </w:t>
      </w:r>
      <w:r>
        <w:rPr/>
        <w:t xml:space="preserve">RCW </w:t>
      </w:r>
      <w:r>
        <w:t xml:space="preserve">9</w:t>
      </w:r>
      <w:r>
        <w:rPr/>
        <w:t xml:space="preserve">.</w:t>
      </w:r>
      <w:r>
        <w:t xml:space="preserve">68</w:t>
      </w:r>
      <w:r>
        <w:rPr/>
        <w:t xml:space="preserve">.</w:t>
      </w:r>
      <w:r>
        <w:t xml:space="preserve">070</w:t>
      </w:r>
      <w:r>
        <w:rPr/>
        <w:t xml:space="preserve"> (Prosecution for violation of RCW 9.68.060</w:t>
      </w:r>
      <w:r>
        <w:rPr>
          <w:rFonts w:ascii="Times New Roman" w:hAnsi="Times New Roman"/>
        </w:rPr>
        <w:t xml:space="preserve">—</w:t>
      </w:r>
      <w:r>
        <w:rPr/>
        <w:t xml:space="preserve">Defense) and 2011 c 336 s 318, 1992 c 5 s 4, &amp; 1969 ex.s. c 256 s 15; and</w:t>
      </w:r>
    </w:p>
    <w:p>
      <w:pPr>
        <w:spacing w:before="0" w:after="0" w:line="408" w:lineRule="exact"/>
        <w:ind w:left="0" w:right="0" w:firstLine="576"/>
        <w:jc w:val="left"/>
      </w:pPr>
      <w:r>
        <w:t xml:space="preserve">(3) </w:t>
      </w:r>
      <w:r>
        <w:rPr/>
        <w:t xml:space="preserve">RCW </w:t>
      </w:r>
      <w:r>
        <w:t xml:space="preserve">9</w:t>
      </w:r>
      <w:r>
        <w:rPr/>
        <w:t xml:space="preserve">.</w:t>
      </w:r>
      <w:r>
        <w:t xml:space="preserve">68</w:t>
      </w:r>
      <w:r>
        <w:rPr/>
        <w:t xml:space="preserve">.</w:t>
      </w:r>
      <w:r>
        <w:t xml:space="preserve">090</w:t>
      </w:r>
      <w:r>
        <w:rPr/>
        <w:t xml:space="preserve"> (Civil liability of wholesaler or wholesaler-distributor) and 2011 c 336 s 320, 1992 c 5 s 3, &amp; 1969 ex.s. c 256 s 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2020 c 1 s 1</w:t>
      </w:r>
      <w:r>
        <w:rPr/>
        <w:t xml:space="preserve"> (uncodified);</w:t>
      </w:r>
    </w:p>
    <w:p>
      <w:pPr>
        <w:spacing w:before="0" w:after="0" w:line="408" w:lineRule="exact"/>
        <w:ind w:left="0" w:right="0" w:firstLine="576"/>
        <w:jc w:val="left"/>
      </w:pPr>
      <w:r>
        <w:t xml:space="preserve">(2) </w:t>
      </w:r>
      <w:r>
        <w:rPr/>
        <w:t xml:space="preserve">2020 c 1 s 2</w:t>
      </w:r>
      <w:r>
        <w:rPr/>
        <w:t xml:space="preserve"> (uncodified);</w:t>
      </w:r>
    </w:p>
    <w:p>
      <w:pPr>
        <w:spacing w:before="0" w:after="0" w:line="408" w:lineRule="exact"/>
        <w:ind w:left="0" w:right="0" w:firstLine="576"/>
        <w:jc w:val="left"/>
      </w:pPr>
      <w:r>
        <w:t xml:space="preserve">(3) </w:t>
      </w:r>
      <w:r>
        <w:rPr/>
        <w:t xml:space="preserve">2020 c 1 s 3</w:t>
      </w:r>
      <w:r>
        <w:rPr/>
        <w:t xml:space="preserve"> (uncodified);</w:t>
      </w:r>
    </w:p>
    <w:p>
      <w:pPr>
        <w:spacing w:before="0" w:after="0" w:line="408" w:lineRule="exact"/>
        <w:ind w:left="0" w:right="0" w:firstLine="576"/>
        <w:jc w:val="left"/>
      </w:pPr>
      <w:r>
        <w:t xml:space="preserve">(4) </w:t>
      </w:r>
      <w:r>
        <w:rPr/>
        <w:t xml:space="preserve">2020 c 1 s 4</w:t>
      </w:r>
      <w:r>
        <w:rPr/>
        <w:t xml:space="preserve"> (uncodified);</w:t>
      </w:r>
    </w:p>
    <w:p>
      <w:pPr>
        <w:spacing w:before="0" w:after="0" w:line="408" w:lineRule="exact"/>
        <w:ind w:left="0" w:right="0" w:firstLine="576"/>
        <w:jc w:val="left"/>
      </w:pPr>
      <w:r>
        <w:t xml:space="preserve">(5) </w:t>
      </w:r>
      <w:r>
        <w:rPr/>
        <w:t xml:space="preserve">2020 c 1 s 5</w:t>
      </w:r>
      <w:r>
        <w:rPr/>
        <w:t xml:space="preserve"> (uncodified);</w:t>
      </w:r>
    </w:p>
    <w:p>
      <w:pPr>
        <w:spacing w:before="0" w:after="0" w:line="408" w:lineRule="exact"/>
        <w:ind w:left="0" w:right="0" w:firstLine="576"/>
        <w:jc w:val="left"/>
      </w:pPr>
      <w:r>
        <w:t xml:space="preserve">(6) </w:t>
      </w:r>
      <w:r>
        <w:rPr/>
        <w:t xml:space="preserve">2020 c 1 s 6</w:t>
      </w:r>
      <w:r>
        <w:rPr/>
        <w:t xml:space="preserve"> (uncodified);</w:t>
      </w:r>
    </w:p>
    <w:p>
      <w:pPr>
        <w:spacing w:before="0" w:after="0" w:line="408" w:lineRule="exact"/>
        <w:ind w:left="0" w:right="0" w:firstLine="576"/>
        <w:jc w:val="left"/>
      </w:pPr>
      <w:r>
        <w:t xml:space="preserve">(7) </w:t>
      </w:r>
      <w:r>
        <w:rPr/>
        <w:t xml:space="preserve">2020 c 1 s 7</w:t>
      </w:r>
      <w:r>
        <w:rPr/>
        <w:t xml:space="preserve"> (uncodified);</w:t>
      </w:r>
    </w:p>
    <w:p>
      <w:pPr>
        <w:spacing w:before="0" w:after="0" w:line="408" w:lineRule="exact"/>
        <w:ind w:left="0" w:right="0" w:firstLine="576"/>
        <w:jc w:val="left"/>
      </w:pPr>
      <w:r>
        <w:t xml:space="preserve">(8) </w:t>
      </w:r>
      <w:r>
        <w:rPr/>
        <w:t xml:space="preserve">2020 c 1 s 8</w:t>
      </w:r>
      <w:r>
        <w:rPr/>
        <w:t xml:space="preserve"> (uncodified);</w:t>
      </w:r>
    </w:p>
    <w:p>
      <w:pPr>
        <w:spacing w:before="0" w:after="0" w:line="408" w:lineRule="exact"/>
        <w:ind w:left="0" w:right="0" w:firstLine="576"/>
        <w:jc w:val="left"/>
      </w:pPr>
      <w:r>
        <w:t xml:space="preserve">(9) </w:t>
      </w:r>
      <w:r>
        <w:rPr/>
        <w:t xml:space="preserve">2020 c 1 s 9</w:t>
      </w:r>
      <w:r>
        <w:rPr/>
        <w:t xml:space="preserve"> (uncodified);</w:t>
      </w:r>
    </w:p>
    <w:p>
      <w:pPr>
        <w:spacing w:before="0" w:after="0" w:line="408" w:lineRule="exact"/>
        <w:ind w:left="0" w:right="0" w:firstLine="576"/>
        <w:jc w:val="left"/>
      </w:pPr>
      <w:r>
        <w:t xml:space="preserve">(10) </w:t>
      </w:r>
      <w:r>
        <w:rPr/>
        <w:t xml:space="preserve">2020 c 1 s 10</w:t>
      </w:r>
      <w:r>
        <w:rPr/>
        <w:t xml:space="preserve"> (uncodified);</w:t>
      </w:r>
    </w:p>
    <w:p>
      <w:pPr>
        <w:spacing w:before="0" w:after="0" w:line="408" w:lineRule="exact"/>
        <w:ind w:left="0" w:right="0" w:firstLine="576"/>
        <w:jc w:val="left"/>
      </w:pPr>
      <w:r>
        <w:t xml:space="preserve">(11) </w:t>
      </w:r>
      <w:r>
        <w:rPr/>
        <w:t xml:space="preserve">2020 c 1 s 11</w:t>
      </w:r>
      <w:r>
        <w:rPr/>
        <w:t xml:space="preserve"> (uncodified);</w:t>
      </w:r>
    </w:p>
    <w:p>
      <w:pPr>
        <w:spacing w:before="0" w:after="0" w:line="408" w:lineRule="exact"/>
        <w:ind w:left="0" w:right="0" w:firstLine="576"/>
        <w:jc w:val="left"/>
      </w:pPr>
      <w:r>
        <w:t xml:space="preserve">(12) </w:t>
      </w:r>
      <w:r>
        <w:rPr/>
        <w:t xml:space="preserve">2020 c 1 s 12</w:t>
      </w:r>
      <w:r>
        <w:rPr/>
        <w:t xml:space="preserve"> (uncodified);</w:t>
      </w:r>
    </w:p>
    <w:p>
      <w:pPr>
        <w:spacing w:before="0" w:after="0" w:line="408" w:lineRule="exact"/>
        <w:ind w:left="0" w:right="0" w:firstLine="576"/>
        <w:jc w:val="left"/>
      </w:pPr>
      <w:r>
        <w:t xml:space="preserve">(13) </w:t>
      </w:r>
      <w:r>
        <w:rPr/>
        <w:t xml:space="preserve">2020 c 1 s 13</w:t>
      </w:r>
      <w:r>
        <w:rPr/>
        <w:t xml:space="preserve"> (uncodified);</w:t>
      </w:r>
    </w:p>
    <w:p>
      <w:pPr>
        <w:spacing w:before="0" w:after="0" w:line="408" w:lineRule="exact"/>
        <w:ind w:left="0" w:right="0" w:firstLine="576"/>
        <w:jc w:val="left"/>
      </w:pPr>
      <w:r>
        <w:t xml:space="preserve">(14) </w:t>
      </w:r>
      <w:r>
        <w:rPr/>
        <w:t xml:space="preserve">2020 c 1 s 14</w:t>
      </w:r>
      <w:r>
        <w:rPr/>
        <w:t xml:space="preserve"> (uncodified);</w:t>
      </w:r>
    </w:p>
    <w:p>
      <w:pPr>
        <w:spacing w:before="0" w:after="0" w:line="408" w:lineRule="exact"/>
        <w:ind w:left="0" w:right="0" w:firstLine="576"/>
        <w:jc w:val="left"/>
      </w:pPr>
      <w:r>
        <w:t xml:space="preserve">(15) </w:t>
      </w:r>
      <w:r>
        <w:rPr/>
        <w:t xml:space="preserve">2020 c 1 s 15</w:t>
      </w:r>
      <w:r>
        <w:rPr/>
        <w:t xml:space="preserve"> (uncodified);</w:t>
      </w:r>
    </w:p>
    <w:p>
      <w:pPr>
        <w:spacing w:before="0" w:after="0" w:line="408" w:lineRule="exact"/>
        <w:ind w:left="0" w:right="0" w:firstLine="576"/>
        <w:jc w:val="left"/>
      </w:pPr>
      <w:r>
        <w:t xml:space="preserve">(16) </w:t>
      </w:r>
      <w:r>
        <w:rPr/>
        <w:t xml:space="preserve">2020 c 1 s 16</w:t>
      </w:r>
      <w:r>
        <w:rPr/>
        <w:t xml:space="preserve"> (uncodified); and</w:t>
      </w:r>
    </w:p>
    <w:p>
      <w:pPr>
        <w:spacing w:before="0" w:after="0" w:line="408" w:lineRule="exact"/>
        <w:ind w:left="0" w:right="0" w:firstLine="576"/>
        <w:jc w:val="left"/>
      </w:pPr>
      <w:r>
        <w:t xml:space="preserve">(17) </w:t>
      </w:r>
      <w:r>
        <w:rPr/>
        <w:t xml:space="preserve">2020 c 1 s 17</w:t>
      </w:r>
      <w:r>
        <w:rPr/>
        <w:t xml:space="preserve"> (uncodified).</w:t>
      </w:r>
    </w:p>
    <w:p/>
    <w:p>
      <w:pPr>
        <w:jc w:val="center"/>
      </w:pPr>
      <w:r>
        <w:rPr>
          <w:b/>
        </w:rPr>
        <w:t>--- END ---</w:t>
      </w:r>
    </w:p>
    <w:sectPr>
      <w:pgNumType w:start="1"/>
      <w:footerReference xmlns:r="http://schemas.openxmlformats.org/officeDocument/2006/relationships" r:id="R8c260cf55ca442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e6ff96d58d4417" /><Relationship Type="http://schemas.openxmlformats.org/officeDocument/2006/relationships/footer" Target="/word/footer1.xml" Id="R8c260cf55ca4423a" /></Relationships>
</file>