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e4ed1a71194cbe" /></Relationships>
</file>

<file path=word/document.xml><?xml version="1.0" encoding="utf-8"?>
<w:document xmlns:w="http://schemas.openxmlformats.org/wordprocessingml/2006/main">
  <w:body>
    <w:p>
      <w:r>
        <w:t>H-2775.1</w:t>
      </w:r>
    </w:p>
    <w:p>
      <w:pPr>
        <w:jc w:val="center"/>
      </w:pPr>
      <w:r>
        <w:t>_______________________________________________</w:t>
      </w:r>
    </w:p>
    <w:p/>
    <w:p>
      <w:pPr>
        <w:jc w:val="center"/>
      </w:pPr>
      <w:r>
        <w:rPr>
          <w:b/>
        </w:rPr>
        <w:t>SUBSTITUTE HOUSE BILL 2224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Rule and Graham)</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risks, strengths, and needs assessment tool used in the risk assessment process when investigating alleged child abuse and neglect referrals; amending RCW 26.44.030;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conduct a study to improve its risks, strengths, and needs assessment tool used in the risk assessment process when investigating alleged child abuse and neglect referrals described in RCW 26.44.030(19) to:</w:t>
      </w:r>
    </w:p>
    <w:p>
      <w:pPr>
        <w:spacing w:before="0" w:after="0" w:line="408" w:lineRule="exact"/>
        <w:ind w:left="0" w:right="0" w:firstLine="576"/>
        <w:jc w:val="left"/>
      </w:pPr>
      <w:r>
        <w:rPr/>
        <w:t xml:space="preserve">(a) Identify family risks, strengths, and needs at the time of the initial child protective services investigation or family assessment response to help inform the most appropriate service path for the family;</w:t>
      </w:r>
    </w:p>
    <w:p>
      <w:pPr>
        <w:spacing w:before="0" w:after="0" w:line="408" w:lineRule="exact"/>
        <w:ind w:left="0" w:right="0" w:firstLine="576"/>
        <w:jc w:val="left"/>
      </w:pPr>
      <w:r>
        <w:rPr/>
        <w:t xml:space="preserve">(b) Identify the risk of harm to a child when substance use disorder is a factor in the case or high potency synthetic opioids, such as fentanyl, are a condition in the home;</w:t>
      </w:r>
    </w:p>
    <w:p>
      <w:pPr>
        <w:spacing w:before="0" w:after="0" w:line="408" w:lineRule="exact"/>
        <w:ind w:left="0" w:right="0" w:firstLine="576"/>
        <w:jc w:val="left"/>
      </w:pPr>
      <w:r>
        <w:rPr/>
        <w:t xml:space="preserve">(c) Determine the service needs of the family and support caseworkers to identify and transition families to appropriate, available services quickly; and</w:t>
      </w:r>
    </w:p>
    <w:p>
      <w:pPr>
        <w:spacing w:before="0" w:after="0" w:line="408" w:lineRule="exact"/>
        <w:ind w:left="0" w:right="0" w:firstLine="576"/>
        <w:jc w:val="left"/>
      </w:pPr>
      <w:r>
        <w:rPr/>
        <w:t xml:space="preserve">(d) Support reassessment and monitoring of family progress.</w:t>
      </w:r>
    </w:p>
    <w:p>
      <w:pPr>
        <w:spacing w:before="0" w:after="0" w:line="408" w:lineRule="exact"/>
        <w:ind w:left="0" w:right="0" w:firstLine="576"/>
        <w:jc w:val="left"/>
      </w:pPr>
      <w:r>
        <w:rPr/>
        <w:t xml:space="preserve">(2) By November 1, 2024, and in compliance with RCW 43.01.036, the department of children, youth, and families shall provide data and information to the legislature on the department of children, youth, and families' efforts to improve its risks, strengths, and needs assessment tool based on the study required under subsection (1) of this section.</w:t>
      </w:r>
    </w:p>
    <w:p>
      <w:pPr>
        <w:spacing w:before="0" w:after="0" w:line="408" w:lineRule="exact"/>
        <w:ind w:left="0" w:right="0" w:firstLine="576"/>
        <w:jc w:val="left"/>
      </w:pPr>
      <w:r>
        <w:rPr/>
        <w:t xml:space="preserve">(3) This section expires August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2019 c 172 s 6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(14)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one hundred twenty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(15)(a)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(16)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(17)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(18)(a)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(19)</w:t>
      </w:r>
      <w:r>
        <w:rPr>
          <w:u w:val="single"/>
        </w:rPr>
        <w:t xml:space="preserve">(a)</w:t>
      </w:r>
      <w:r>
        <w:rPr/>
        <w:t xml:space="preserve">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u w:val="single"/>
        </w:rPr>
        <w:t xml:space="preserve">(b) The risk assessment process used under this subsection must be certified at least once every three years based on current academic standards for assessment validation, and can be certified by the office of innovation, alignment, and accountability or an outside researcher.</w:t>
      </w:r>
    </w:p>
    <w:p>
      <w:pPr>
        <w:spacing w:before="0" w:after="0" w:line="408" w:lineRule="exact"/>
        <w:ind w:left="0" w:right="0" w:firstLine="576"/>
        <w:jc w:val="left"/>
      </w:pPr>
      <w:r>
        <w:rPr/>
        <w:t xml:space="preserve">(20)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(21)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(22)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(23) The department shall make available on its public website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
      <w:pPr>
        <w:jc w:val="center"/>
      </w:pPr>
      <w:r>
        <w:rPr>
          <w:b/>
        </w:rPr>
        <w:t>--- END ---</w:t>
      </w:r>
    </w:p>
    <w:sectPr>
      <w:pgNumType w:start="1"/>
      <w:footerReference xmlns:r="http://schemas.openxmlformats.org/officeDocument/2006/relationships" r:id="R1331fff7c0614a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1cfaaa24cf4253" /><Relationship Type="http://schemas.openxmlformats.org/officeDocument/2006/relationships/footer" Target="/word/footer1.xml" Id="R1331fff7c0614a3c" /></Relationships>
</file>