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b689436cf4c43" /></Relationships>
</file>

<file path=word/document.xml><?xml version="1.0" encoding="utf-8"?>
<w:document xmlns:w="http://schemas.openxmlformats.org/wordprocessingml/2006/main">
  <w:body>
    <w:p>
      <w:r>
        <w:t>H-2500.1</w:t>
      </w:r>
    </w:p>
    <w:p>
      <w:pPr>
        <w:jc w:val="center"/>
      </w:pPr>
      <w:r>
        <w:t>_______________________________________________</w:t>
      </w:r>
    </w:p>
    <w:p/>
    <w:p>
      <w:pPr>
        <w:jc w:val="center"/>
      </w:pPr>
      <w:r>
        <w:rPr>
          <w:b/>
        </w:rPr>
        <w:t>HOUSE BILL 2245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Bronoske, Eslick, Ramel, Senn, Reed, Macri, Leavitt, and Davis</w:t>
      </w:r>
    </w:p>
    <w:p/>
    <w:p>
      <w:r>
        <w:rPr>
          <w:t xml:space="preserve">Read first time 01/09/24.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co-response services and training as an essential component of the crisis care continuum; amending RCW 71.24.905; reenacting RCW 71.24.025; adding new sections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goals of co-response are to de-escalate situations, divert people from criminal justice and emergency medical systems, and bring medical and behavioral health care into the field to serve vulnerable populations.</w:t>
      </w:r>
    </w:p>
    <w:p>
      <w:pPr>
        <w:spacing w:before="0" w:after="0" w:line="408" w:lineRule="exact"/>
        <w:ind w:left="0" w:right="0" w:firstLine="576"/>
        <w:jc w:val="left"/>
      </w:pPr>
      <w:r>
        <w:rPr/>
        <w:t xml:space="preserve">During the 2022 legislative session, the legislature passed Substitute Senate Bill No. 5644 which, among other tasks, required a behavioral health landscape analysis. The analysis showed that over 60 co-response teams are currently operating across the state with gaps in funding and services among various regions as well as siloed systems of crisis response between 911 and 988.</w:t>
      </w:r>
    </w:p>
    <w:p>
      <w:pPr>
        <w:spacing w:before="0" w:after="0" w:line="408" w:lineRule="exact"/>
        <w:ind w:left="0" w:right="0" w:firstLine="576"/>
        <w:jc w:val="left"/>
      </w:pPr>
      <w:r>
        <w:rPr/>
        <w:t xml:space="preserve">The legislature recognizes that there is a need for high acuity first response services for people experiencing behavioral health emergencies as the 988 hotline and behavioral health crisis response systems develop. To help address this need, 911 and 988 personnel must work together to create a seamless crisis care delivery system for individuals in crisis. The 911 co-response teams respond to behavioral health emergencies and other complex needs at the nexus of health and behavioral health. First responders are critical to the provision of medical care in the field and ongoing case management and follow-up services, and they fill gaps in care when there are no mobile crisis teams available.</w:t>
      </w:r>
    </w:p>
    <w:p>
      <w:pPr>
        <w:spacing w:before="0" w:after="0" w:line="408" w:lineRule="exact"/>
        <w:ind w:left="0" w:right="0" w:firstLine="576"/>
        <w:jc w:val="left"/>
      </w:pPr>
      <w:r>
        <w:rPr/>
        <w:t xml:space="preserve">The legislature recognizes the need for high quality training and certification, workforce development, and peer support to enhance regional collaboration. High quality training and regional collaboration are essential for co-response service delivery to be optimized due to discrepancies in current program efficacy and outcomes. Behavioral health workforce shortages impact co-response, and the nature of the work is challenging as critical incidents happen regularly.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school of social work shall establish a pilot program to administer a co-response education training academy resulting in a certification in co-response best practices in three behavioral health administrative service organizations with a significant co-response footprint. The co-response education training academy shall be expanded to all 10 behavioral health administrative service organizations by 2026.</w:t>
      </w:r>
    </w:p>
    <w:p>
      <w:pPr>
        <w:spacing w:before="0" w:after="0" w:line="408" w:lineRule="exact"/>
        <w:ind w:left="0" w:right="0" w:firstLine="576"/>
        <w:jc w:val="left"/>
      </w:pPr>
      <w:r>
        <w:rPr/>
        <w:t xml:space="preserve">(2) The University of Washington school of social work shall explore, in collaboration with the department, the development of a credential for licensure for behavioral health co-responders.</w:t>
      </w:r>
    </w:p>
    <w:p>
      <w:pPr>
        <w:spacing w:before="0" w:after="0" w:line="408" w:lineRule="exact"/>
        <w:ind w:left="0" w:right="0" w:firstLine="576"/>
        <w:jc w:val="left"/>
      </w:pPr>
      <w:r>
        <w:rPr/>
        <w:t xml:space="preserve">(3) The University of Washington school of social work may provide grants to small and rural co-response programs for staff to attend the training to offset increased costs associated with sending staff to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explore the feasibility of collaborations across the state's institutions of higher education to develop a crisis training certificate for associate, bachelor, and master's degree candidates who want to become crisis responders.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collaborate with a statewide organization focused on co-response outreach to develop and pilot a statewide internal peer support program designed to assist co-response professionals who have faced life-threatening or traumatic incidents that occur while on the job.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"Co-response" means a multidisciplinary partnership between first responders and human services professionals that responds to emergency situations involving behavioral or mental health crises and people experiencing complex medical needs. First responders include public safety telecommunicators, law enforcement officers, firefighters, emergency medical technicians, and paramedics. Human services professionals include social workers, behavioral health clinicians, advanced registered nurse practitioners, registered nurses, community health workers, and peer support specialists. Co-responders may provide call-for-service crisis response and follow-up care including case management, resource navigation,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905</w:t>
      </w:r>
      <w:r>
        <w:rPr/>
        <w:t xml:space="preserve"> and 2022 c 232 s 2 are each amended to read as follows:</w:t>
      </w:r>
    </w:p>
    <w:p>
      <w:pPr>
        <w:spacing w:before="0" w:after="0" w:line="408" w:lineRule="exact"/>
        <w:ind w:left="0" w:right="0" w:firstLine="576"/>
        <w:jc w:val="left"/>
      </w:pPr>
      <w:r>
        <w:rPr/>
        <w:t xml:space="preserve">(1) Subject to the availability of amounts appropriated for this specific purpose, the University of Washington </w:t>
      </w:r>
      <w:r>
        <w:rPr>
          <w:u w:val="single"/>
        </w:rPr>
        <w:t xml:space="preserve">school of social work</w:t>
      </w:r>
      <w:r>
        <w:rPr/>
        <w:t xml:space="preserve">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w:t>
      </w:r>
      <w:r>
        <w:t>((</w:t>
      </w:r>
      <w:r>
        <w:rPr>
          <w:strike/>
        </w:rPr>
        <w:t xml:space="preserve">2023</w:t>
      </w:r>
      <w:r>
        <w:t>))</w:t>
      </w:r>
      <w:r>
        <w:rPr/>
        <w:t xml:space="preserve"> </w:t>
      </w:r>
      <w:r>
        <w:rPr>
          <w:u w:val="single"/>
        </w:rPr>
        <w:t xml:space="preserve">2025</w:t>
      </w:r>
      <w:r>
        <w:rPr/>
        <w:t xml:space="preserve">, </w:t>
      </w:r>
      <w:r>
        <w:rPr>
          <w:u w:val="single"/>
        </w:rPr>
        <w:t xml:space="preserve">and annually thereafter,</w:t>
      </w:r>
      <w:r>
        <w:rPr/>
        <w:t xml:space="preserve">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 </w:t>
      </w:r>
      <w:r>
        <w:rPr>
          <w:u w:val="single"/>
        </w:rPr>
        <w:t xml:space="preserve">The University of Washington school of social work shall collaborate with stakeholders in the field of co-response to increase the capacity of the annual retreat to make it available to crisis responders across a variety of programs.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w:t>
      </w:r>
      <w:r>
        <w:t>((</w:t>
      </w:r>
      <w:r>
        <w:rPr>
          <w:strike/>
        </w:rPr>
        <w:t xml:space="preserve">enhanced</w:t>
      </w:r>
      <w:r>
        <w:t>))</w:t>
      </w:r>
      <w:r>
        <w:rPr/>
        <w:t xml:space="preserve"> 911 system; 988 crisis call centers; and the peer workforce alliance.</w:t>
      </w:r>
    </w:p>
    <w:p/>
    <w:p>
      <w:pPr>
        <w:jc w:val="center"/>
      </w:pPr>
      <w:r>
        <w:rPr>
          <w:b/>
        </w:rPr>
        <w:t>--- END ---</w:t>
      </w:r>
    </w:p>
    <w:sectPr>
      <w:pgNumType w:start="1"/>
      <w:footerReference xmlns:r="http://schemas.openxmlformats.org/officeDocument/2006/relationships" r:id="Rd8025f0b50ca4c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8c3808b484e58" /><Relationship Type="http://schemas.openxmlformats.org/officeDocument/2006/relationships/footer" Target="/word/footer1.xml" Id="Rd8025f0b50ca4c5a" /></Relationships>
</file>