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a2e0a28ded4d74" /></Relationships>
</file>

<file path=word/document.xml><?xml version="1.0" encoding="utf-8"?>
<w:document xmlns:w="http://schemas.openxmlformats.org/wordprocessingml/2006/main">
  <w:body>
    <w:p>
      <w:r>
        <w:t>H-2571.1</w:t>
      </w:r>
    </w:p>
    <w:p>
      <w:pPr>
        <w:jc w:val="center"/>
      </w:pPr>
      <w:r>
        <w:t>_______________________________________________</w:t>
      </w:r>
    </w:p>
    <w:p/>
    <w:p>
      <w:pPr>
        <w:jc w:val="center"/>
      </w:pPr>
      <w:r>
        <w:rPr>
          <w:b/>
        </w:rPr>
        <w:t>HOUSE BILL 2325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Fitzgibbon, Riccelli, Berry, Walen, Gregerson, Bateman, Doglio, Nance, Ramel, Macri, Pollet, and Ormsby</w:t>
      </w:r>
    </w:p>
    <w:p/>
    <w:p>
      <w:r>
        <w:rPr>
          <w:t xml:space="preserve">Read first time 01/12/24.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legislative employee collective bargaining; amending RCW 44.90.020, 44.90.030, 44.90.050, 44.90.060, 44.90.070, 44.90.080, and 44.90.090; adding new sections to chapter 44.90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public employment relations commission.</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to assist in a confidential capacity, or serve as counsel to, persons who formulate, determine, and effectuate employer policies with regard to labor relations and personnel matters or who has authorized access to information relating to the effectuation or review of the employer's collective bargaining policies, strategies, or process to the extent that such access creates a conflict of interest, or who assists or aids an employee with managerial authority.</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and have authority over legislative employees on an ongoing basis as part of the employee's regular and usual job duties. Supervision includes the authority to direct employees, approve and deny leave, and participate in decisions to hire, transfer, suspend, lay off, recall, promote, discharge, direct, reward, or discipline employees, or to adjust employee grievances when the exercise of the authority is not of a merely routine nature but requires the exercise of individual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Caucus chiefs of staff and caucus deputy chiefs of staff;</w:t>
      </w:r>
    </w:p>
    <w:p>
      <w:pPr>
        <w:spacing w:before="0" w:after="0" w:line="408" w:lineRule="exact"/>
        <w:ind w:left="0" w:right="0" w:firstLine="576"/>
        <w:jc w:val="left"/>
      </w:pPr>
      <w:r>
        <w:rPr/>
        <w:t xml:space="preserve">(d) The speaker's attorney, house counsel, and leadership counsel to the minority caucus of the house of representatives; and</w:t>
      </w:r>
    </w:p>
    <w:p>
      <w:pPr>
        <w:spacing w:before="0" w:after="0" w:line="408" w:lineRule="exact"/>
        <w:ind w:left="0" w:right="0" w:firstLine="576"/>
        <w:jc w:val="left"/>
      </w:pPr>
      <w:r>
        <w:rPr/>
        <w:t xml:space="preserve">(e) The counsel for the senate that provide direct legal advice to the administration of the senate.</w:t>
      </w:r>
    </w:p>
    <w:p>
      <w:pPr>
        <w:spacing w:before="0" w:after="0" w:line="408" w:lineRule="exact"/>
        <w:ind w:left="0" w:right="0" w:firstLine="576"/>
        <w:jc w:val="left"/>
      </w:pPr>
      <w:r>
        <w:rPr/>
        <w:t xml:space="preserve">(3) Notwithstanding any other provision of this chapter, the employer has the sole and exclusive authority to designate confidential employees, supervisors, and employees who have managerial authority, except that those designated employees may not, collectively, exceed 20 percent of the total employee positions of the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Require the legislature to reinstate an employee;</w:t>
      </w:r>
    </w:p>
    <w:p>
      <w:pPr>
        <w:spacing w:before="0" w:after="0" w:line="408" w:lineRule="exact"/>
        <w:ind w:left="0" w:right="0" w:firstLine="576"/>
        <w:jc w:val="left"/>
      </w:pPr>
      <w:r>
        <w:rPr/>
        <w:t xml:space="preserve">(b)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(c)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(d) Modify any matter relating to legislative calendars, schedules, and deadlines of the legislature; or</w:t>
      </w:r>
    </w:p>
    <w:p>
      <w:pPr>
        <w:spacing w:before="0" w:after="0" w:line="408" w:lineRule="exact"/>
        <w:ind w:left="0" w:right="0" w:firstLine="576"/>
        <w:jc w:val="left"/>
      </w:pPr>
      <w:r>
        <w:rPr/>
        <w:t xml:space="preserve">(e) Modify laws, rules, policies, or procedures regarding ethics or conflicts of interest.</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nor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 If an employee organization has been certified as the exclusive bargaining representative of the employees of a bargaining unit, the employee organization may act for and negotiate master collective bargaining agreements that includes within the coverage of the agreement all employees in the bargaining unit. However, if a master collective bargaining agreement is in effect for the exclusive bargaining representative, it applies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are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individual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and the cutoff calendar for a legislative session;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employer's right to hire, terminate, and promote employees. Legislative employees hold their positions at the employer's pleasure;</w:t>
      </w:r>
    </w:p>
    <w:p>
      <w:pPr>
        <w:spacing w:before="0" w:after="0" w:line="408" w:lineRule="exact"/>
        <w:ind w:left="0" w:right="0" w:firstLine="576"/>
        <w:jc w:val="left"/>
      </w:pPr>
      <w:r>
        <w:rPr>
          <w:u w:val="single"/>
        </w:rPr>
        <w:t xml:space="preserve">(g)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(h) The right to take whatever actions are deemed necessary to carry out the mission of the legislature and its agencies during emergencies;</w:t>
      </w:r>
    </w:p>
    <w:p>
      <w:pPr>
        <w:spacing w:before="0" w:after="0" w:line="408" w:lineRule="exact"/>
        <w:ind w:left="0" w:right="0" w:firstLine="576"/>
        <w:jc w:val="left"/>
      </w:pPr>
      <w:r>
        <w:rPr>
          <w:u w:val="single"/>
        </w:rPr>
        <w:t xml:space="preserve">(i) Employees' status as exempt from chapters 41.06 and 49.46 RCW and the federal fair labor standards act (Title 29 U.S.C. Sec. 203); and</w:t>
      </w:r>
    </w:p>
    <w:p>
      <w:pPr>
        <w:spacing w:before="0" w:after="0" w:line="408" w:lineRule="exact"/>
        <w:ind w:left="0" w:right="0" w:firstLine="576"/>
        <w:jc w:val="left"/>
      </w:pPr>
      <w:r>
        <w:rPr>
          <w:u w:val="single"/>
        </w:rPr>
        <w:t xml:space="preserve">(j)</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
      <w:pPr>
        <w:jc w:val="center"/>
      </w:pPr>
      <w:r>
        <w:rPr>
          <w:b/>
        </w:rPr>
        <w:t>--- END ---</w:t>
      </w:r>
    </w:p>
    <w:sectPr>
      <w:pgNumType w:start="1"/>
      <w:footerReference xmlns:r="http://schemas.openxmlformats.org/officeDocument/2006/relationships" r:id="R1ba16769ed1f4f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30b1396bd54b34" /><Relationship Type="http://schemas.openxmlformats.org/officeDocument/2006/relationships/footer" Target="/word/footer1.xml" Id="R1ba16769ed1f4fcf" /></Relationships>
</file>