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fe4c7db918418d" /></Relationships>
</file>

<file path=word/document.xml><?xml version="1.0" encoding="utf-8"?>
<w:document xmlns:w="http://schemas.openxmlformats.org/wordprocessingml/2006/main">
  <w:body>
    <w:p>
      <w:r>
        <w:t>H-2703.1</w:t>
      </w:r>
    </w:p>
    <w:p>
      <w:pPr>
        <w:jc w:val="center"/>
      </w:pPr>
      <w:r>
        <w:t>_______________________________________________</w:t>
      </w:r>
    </w:p>
    <w:p/>
    <w:p>
      <w:pPr>
        <w:jc w:val="center"/>
      </w:pPr>
      <w:r>
        <w:rPr>
          <w:b/>
        </w:rPr>
        <w:t>HOUSE BILL 2420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Donaghy and Ramel</w:t>
      </w:r>
    </w:p>
    <w:p/>
    <w:p>
      <w:r>
        <w:rPr>
          <w:t xml:space="preserve">Read first time 01/18/24.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training; amending RCW 43.101.230; reenacting and amending RCW 43.101.200;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2023 c 475 s 931 and 2023 c 168 s 2 are each reenacted and amended to read as follows:</w:t>
      </w:r>
    </w:p>
    <w:p>
      <w:pPr>
        <w:spacing w:before="0" w:after="0" w:line="408" w:lineRule="exact"/>
        <w:ind w:left="0" w:right="0" w:firstLine="576"/>
        <w:jc w:val="left"/>
      </w:pPr>
      <w:r>
        <w:rPr/>
        <w:t xml:space="preserve">(1) Except as provided in subsection (2) of this section,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t xml:space="preserve">(C) Remained current with the in-service training requirements as adopted by the commission by rule.</w:t>
      </w:r>
    </w:p>
    <w:p>
      <w:pPr>
        <w:spacing w:before="0" w:after="0" w:line="408" w:lineRule="exact"/>
        <w:ind w:left="0" w:right="0" w:firstLine="576"/>
        <w:jc w:val="left"/>
      </w:pPr>
      <w:r>
        <w:rPr/>
        <w:t xml:space="preserve">(3)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rPr>
          <w:u w:val="single"/>
        </w:rPr>
        <w:t xml:space="preserve">and</w:t>
      </w:r>
      <w:r>
        <w:rPr/>
        <w:t xml:space="preserve"> 2021-2023</w:t>
      </w:r>
      <w:r>
        <w:t>((</w:t>
      </w:r>
      <w:r>
        <w:rPr>
          <w:strike/>
        </w:rPr>
        <w:t xml:space="preserve">, and 2023-2025</w:t>
      </w:r>
      <w:r>
        <w:t>))</w:t>
      </w:r>
      <w:r>
        <w:rPr/>
        <w:t xml:space="preserve"> fiscal biennia </w:t>
      </w:r>
      <w:r>
        <w:rPr>
          <w:u w:val="single"/>
        </w:rPr>
        <w:t xml:space="preserve">and fiscal year 2024</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t xml:space="preserve">PROVIDED FURTHER, That limited authority Washington law enforcement agencies as defined in RCW 10.93.020 shall reimburse the commission for the full cost of training their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2023 c 72 s 1 are each amended to read as follows:</w:t>
      </w:r>
    </w:p>
    <w:p>
      <w:pPr>
        <w:spacing w:before="0" w:after="0" w:line="408" w:lineRule="exact"/>
        <w:ind w:left="0" w:right="0" w:firstLine="576"/>
        <w:jc w:val="left"/>
      </w:pPr>
      <w:r>
        <w:rPr/>
        <w:t xml:space="preserve">Tribal police officers and employees who are engaged in law enforcement activities and who do not qualify as "criminal justice personnel" or "law enforcement personnel" under RCW 43.101.010 shall be provided training under this chapter if: (1) The tribe is recognized by the federal government, and (2) </w:t>
      </w:r>
      <w:r>
        <w:rPr>
          <w:u w:val="single"/>
        </w:rPr>
        <w:t xml:space="preserve">for fiscal year 2024,</w:t>
      </w:r>
      <w:r>
        <w:rPr/>
        <w:t xml:space="preserve"> tribal agencies with tribal officer certification agreements with the commission under RCW 43.101.157 shall reimburse the commission for 25 percent of the cost of training its personnel. Tribes without current written tribal officer certification agreements with the commission shall pay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7fe23b91936f48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04ff5083484ec2" /><Relationship Type="http://schemas.openxmlformats.org/officeDocument/2006/relationships/footer" Target="/word/footer1.xml" Id="R7fe23b91936f48fa" /></Relationships>
</file>