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22c566955d4e0a" /></Relationships>
</file>

<file path=word/document.xml><?xml version="1.0" encoding="utf-8"?>
<w:document xmlns:w="http://schemas.openxmlformats.org/wordprocessingml/2006/main">
  <w:body>
    <w:p>
      <w:r>
        <w:t>H-2747.1</w:t>
      </w:r>
    </w:p>
    <w:p>
      <w:pPr>
        <w:jc w:val="center"/>
      </w:pPr>
      <w:r>
        <w:t>_______________________________________________</w:t>
      </w:r>
    </w:p>
    <w:p/>
    <w:p>
      <w:pPr>
        <w:jc w:val="center"/>
      </w:pPr>
      <w:r>
        <w:rPr>
          <w:b/>
        </w:rPr>
        <w:t>HOUSE BILL 2447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Senn, Callan, Ramel, and Pollet</w:t>
      </w:r>
    </w:p>
    <w:p/>
    <w:p>
      <w:r>
        <w:rPr>
          <w:t xml:space="preserve">Read first time 01/22/24.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welfare process in circumstances involving high-potency synthetic opioids; amending RCW 13.34.050, 13.34.130, 26.44.050, 26.44.056, 26.44.030, and 2.56.230; reenacting and amending RCW 13.34.030 and 13.34.065; adding a new section to chapter 13.34 RCW; adding new sections to chapter 43.216 RCW; adding a new section to chapter 74.14B RCW; adding new sections to chapter 41.05 RCW; adding a new section to chapter 43.330 RCW;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 within 12 months of the family's involvement in the child welfare system in Washington.</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 potency synthetic opioid and, according to the centers for disease control and prevention, is 50 times more potent than heroin and 100 times more potent than morphine. Even in very small quantities high potency synthetic opioids may be lethal to a child.</w:t>
      </w:r>
    </w:p>
    <w:p>
      <w:pPr>
        <w:spacing w:before="0" w:after="0" w:line="408" w:lineRule="exact"/>
        <w:ind w:left="0" w:right="0" w:firstLine="576"/>
        <w:jc w:val="left"/>
      </w:pPr>
      <w:r>
        <w:rPr/>
        <w:t xml:space="preserve">(3) The legislature finds that when a parent, guardian, or legal custodian's use of a high potency synthetic opioid, possession of a high potency synthetic opioid, or action creates a risk that a child will be harmed from exposure to, ingestion, inhalation, or contact with a high potency synthetic opioid, a child may be at risk of imminent physical harm.</w:t>
      </w:r>
    </w:p>
    <w:p>
      <w:pPr>
        <w:spacing w:before="0" w:after="0" w:line="408" w:lineRule="exact"/>
        <w:ind w:left="0" w:right="0" w:firstLine="576"/>
        <w:jc w:val="left"/>
      </w:pPr>
      <w:r>
        <w:rPr/>
        <w:t xml:space="preserve">(4) The legislature intends to provide clarity to judges, social workers, advocates, and families and direct guidance about the safety threat that highly potent synthetic opioids pose to vulnerable children. The legislature declares that the presence or exposure of highly potent synthetic opioids should be given great weight in determining whether a child is at risk of imminent physical harm as a result of abuse or neglect.</w:t>
      </w:r>
    </w:p>
    <w:p>
      <w:pPr>
        <w:spacing w:before="0" w:after="0" w:line="408" w:lineRule="exact"/>
        <w:ind w:left="0" w:right="0" w:firstLine="576"/>
        <w:jc w:val="left"/>
      </w:pPr>
      <w:r>
        <w:rPr/>
        <w:t xml:space="preserve">(5)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court shall give great weight to the lethality of a high potency synthetic opioid when a parent, guardian, or legal custodian's use of a high potency synthetic opioid, possession of a high potency synthetic opioid, or action creates a risk that a child will be harmed from exposure to, ingestion, inhalation, or contact with a high potency synthetic opioid when determining:</w:t>
      </w:r>
    </w:p>
    <w:p>
      <w:pPr>
        <w:spacing w:before="0" w:after="0" w:line="408" w:lineRule="exact"/>
        <w:ind w:left="0" w:right="0" w:firstLine="576"/>
        <w:jc w:val="left"/>
      </w:pPr>
      <w:r>
        <w:rPr/>
        <w:t xml:space="preserve">(1) Whether to issue an order directing a law enforcement officer, probation counselor, or child protective services official to take a child into custody when a dependency petition is filed;</w:t>
      </w:r>
    </w:p>
    <w:p>
      <w:pPr>
        <w:spacing w:before="0" w:after="0" w:line="408" w:lineRule="exact"/>
        <w:ind w:left="0" w:right="0" w:firstLine="576"/>
        <w:jc w:val="left"/>
      </w:pPr>
      <w:r>
        <w:rPr/>
        <w:t xml:space="preserve">(2) Whether placing or maintaining a child in shelter care is necessary to prevent imminent physical harm to a child;</w:t>
      </w:r>
    </w:p>
    <w:p>
      <w:pPr>
        <w:spacing w:before="0" w:after="0" w:line="408" w:lineRule="exact"/>
        <w:ind w:left="0" w:right="0" w:firstLine="576"/>
        <w:jc w:val="left"/>
      </w:pPr>
      <w:r>
        <w:rPr/>
        <w:t xml:space="preserve">(3) Whether a parent, guardian, or legal custodian's participation in any prevention services would prevent or eliminate the need for the child's removal;</w:t>
      </w:r>
    </w:p>
    <w:p>
      <w:pPr>
        <w:spacing w:before="0" w:after="0" w:line="408" w:lineRule="exact"/>
        <w:ind w:left="0" w:right="0" w:firstLine="576"/>
        <w:jc w:val="left"/>
      </w:pPr>
      <w:r>
        <w:rPr/>
        <w:t xml:space="preserve">(4) Whether a parent, guardian, or legal custodian is available to care for the child under RCW 13.34.130(6)(a); or</w:t>
      </w:r>
    </w:p>
    <w:p>
      <w:pPr>
        <w:spacing w:before="0" w:after="0" w:line="408" w:lineRule="exact"/>
        <w:ind w:left="0" w:right="0" w:firstLine="576"/>
        <w:jc w:val="left"/>
      </w:pPr>
      <w:r>
        <w:rPr/>
        <w:t xml:space="preserve">(5) Whether a manifest danger exists that the child will suffer serious abuse or neglect if the child is not removed from the home under RCW 13.34.130(6)(c).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 potency synthetic opioids" means illicitly used or unprescribed synthetic opioids classified as a schedule I or II controlled substance or controlled substance analog in chapter 69.50 RCW and federal law or listed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w:t>
      </w:r>
      <w:r>
        <w:rPr>
          <w:u w:val="single"/>
        </w:rPr>
        <w:t xml:space="preserve">(a)</w:t>
      </w:r>
      <w:r>
        <w:rPr/>
        <w:t xml:space="preserve"> The court may enter an order directing a law enforcement officer, probation counselor, or child protective services official to take a child into custody if: </w:t>
      </w:r>
      <w:r>
        <w:t>((</w:t>
      </w:r>
      <w:r>
        <w:rPr>
          <w:strike/>
        </w:rPr>
        <w:t xml:space="preserve">(a)</w:t>
      </w:r>
      <w:r>
        <w:t>))</w:t>
      </w:r>
      <w:r>
        <w:rPr/>
        <w:t xml:space="preserve"> </w:t>
      </w:r>
      <w:r>
        <w:rPr>
          <w:u w:val="single"/>
        </w:rPr>
        <w:t xml:space="preserve">(i)</w:t>
      </w:r>
      <w:r>
        <w:rPr/>
        <w:t xml:space="preserve"> A petition is filed with the juvenile court with sufficient corroborating evidence to establish that the child is dependent; </w:t>
      </w:r>
      <w:r>
        <w:t>((</w:t>
      </w:r>
      <w:r>
        <w:rPr>
          <w:strike/>
        </w:rPr>
        <w:t xml:space="preserve">(b)</w:t>
      </w:r>
      <w:r>
        <w:t>))</w:t>
      </w:r>
      <w:r>
        <w:rPr/>
        <w:t xml:space="preserve"> </w:t>
      </w:r>
      <w:r>
        <w:rPr>
          <w:u w:val="single"/>
        </w:rPr>
        <w:t xml:space="preserve">(ii)</w:t>
      </w:r>
      <w:r>
        <w:rPr/>
        <w:t xml:space="preserve"> the allegations contained in the petition, if true, establish that there are reasonable grounds to believe that removal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w:t>
      </w:r>
      <w:r>
        <w:t>((</w:t>
      </w:r>
      <w:r>
        <w:rPr>
          <w:strike/>
        </w:rPr>
        <w:t xml:space="preserve">(c)</w:t>
      </w:r>
      <w:r>
        <w:t>))</w:t>
      </w:r>
      <w:r>
        <w:rPr/>
        <w:t xml:space="preserve"> </w:t>
      </w:r>
      <w:r>
        <w:rPr>
          <w:u w:val="single"/>
        </w:rPr>
        <w:t xml:space="preserve">(iii)</w:t>
      </w:r>
      <w:r>
        <w:rPr/>
        <w:t xml:space="preserve"> an affidavit or declaration is filed by the department in support of the petition setting forth specific factual information evidencing insufficient time to serve a parent with a dependency petition and hold a hearing prior to removal.</w:t>
      </w:r>
    </w:p>
    <w:p>
      <w:pPr>
        <w:spacing w:before="0" w:after="0" w:line="408" w:lineRule="exact"/>
        <w:ind w:left="0" w:right="0" w:firstLine="576"/>
        <w:jc w:val="left"/>
      </w:pPr>
      <w:r>
        <w:rPr>
          <w:u w:val="single"/>
        </w:rPr>
        <w:t xml:space="preserve">(b) The child abuse or neglect establishing the basis for a determination of imminent physical harm under (a) of this subsection may include, but is not limited to, child abuse or neglect resulting from:</w:t>
      </w:r>
    </w:p>
    <w:p>
      <w:pPr>
        <w:spacing w:before="0" w:after="0" w:line="408" w:lineRule="exact"/>
        <w:ind w:left="0" w:right="0" w:firstLine="576"/>
        <w:jc w:val="left"/>
      </w:pPr>
      <w:r>
        <w:rPr>
          <w:u w:val="single"/>
        </w:rPr>
        <w:t xml:space="preserve">(i) Sexual abuse;</w:t>
      </w:r>
    </w:p>
    <w:p>
      <w:pPr>
        <w:spacing w:before="0" w:after="0" w:line="408" w:lineRule="exact"/>
        <w:ind w:left="0" w:right="0" w:firstLine="576"/>
        <w:jc w:val="left"/>
      </w:pPr>
      <w:r>
        <w:rPr>
          <w:u w:val="single"/>
        </w:rPr>
        <w:t xml:space="preserve">(ii) Sexual exploitation;</w:t>
      </w:r>
    </w:p>
    <w:p>
      <w:pPr>
        <w:spacing w:before="0" w:after="0" w:line="408" w:lineRule="exact"/>
        <w:ind w:left="0" w:right="0" w:firstLine="576"/>
        <w:jc w:val="left"/>
      </w:pPr>
      <w:r>
        <w:rPr>
          <w:u w:val="single"/>
        </w:rPr>
        <w:t xml:space="preserve">(iii) A high-potency synthetic opioid; or</w:t>
      </w:r>
    </w:p>
    <w:p>
      <w:pPr>
        <w:spacing w:before="0" w:after="0" w:line="408" w:lineRule="exact"/>
        <w:ind w:left="0" w:right="0" w:firstLine="576"/>
        <w:jc w:val="left"/>
      </w:pPr>
      <w:r>
        <w:rPr>
          <w:u w:val="single"/>
        </w:rPr>
        <w:t xml:space="preserve">(iv) A pattern of severe neglect.</w:t>
      </w:r>
    </w:p>
    <w:p>
      <w:pPr>
        <w:spacing w:before="0" w:after="0" w:line="408" w:lineRule="exact"/>
        <w:ind w:left="0" w:right="0" w:firstLine="576"/>
        <w:jc w:val="left"/>
      </w:pPr>
      <w:r>
        <w:rPr>
          <w:u w:val="single"/>
        </w:rPr>
        <w:t xml:space="preserve">(c) The court shall give great weight to the lethality of high potency synthetic opioids according to section 101 of this act.</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 potency synthetic opioids according to section 101 of this act</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t>
      </w:r>
      <w:r>
        <w:t>((</w:t>
      </w:r>
      <w:r>
        <w:rPr>
          <w:strike/>
        </w:rPr>
        <w:t xml:space="preserve">Whether</w:t>
      </w:r>
      <w:r>
        <w:t>))</w:t>
      </w:r>
      <w:r>
        <w:rPr/>
        <w:t xml:space="preserve"> </w:t>
      </w:r>
      <w:r>
        <w:rPr>
          <w:u w:val="single"/>
        </w:rPr>
        <w:t xml:space="preserve">Subject to the requirements of section 101 of this act, whether</w:t>
      </w:r>
      <w:r>
        <w:rPr/>
        <w:t xml:space="preserve">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w:t>
      </w:r>
      <w:r>
        <w:t>((</w:t>
      </w:r>
      <w:r>
        <w:rPr>
          <w:strike/>
        </w:rPr>
        <w:t xml:space="preserve">There</w:t>
      </w:r>
      <w:r>
        <w:t>))</w:t>
      </w:r>
      <w:r>
        <w:rPr/>
        <w:t xml:space="preserve"> </w:t>
      </w:r>
      <w:r>
        <w:rPr>
          <w:u w:val="single"/>
        </w:rPr>
        <w:t xml:space="preserve">Subject to the requirements of section 101 of this act, there</w:t>
      </w:r>
      <w:r>
        <w:rPr/>
        <w:t xml:space="preserv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Subject to the requirements of section 101 of this act, the</w:t>
      </w:r>
      <w:r>
        <w:rPr/>
        <w:t xml:space="preserv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The child abuse or neglect establishing the basis for a determination of imminent physical harm under subsection (2) of this section may include, but is not limited to, child abuse or neglect resulting from:</w:t>
      </w:r>
    </w:p>
    <w:p>
      <w:pPr>
        <w:spacing w:before="0" w:after="0" w:line="408" w:lineRule="exact"/>
        <w:ind w:left="0" w:right="0" w:firstLine="576"/>
        <w:jc w:val="left"/>
      </w:pPr>
      <w:r>
        <w:rPr>
          <w:u w:val="single"/>
        </w:rPr>
        <w:t xml:space="preserve">(a) Sexual abuse;</w:t>
      </w:r>
    </w:p>
    <w:p>
      <w:pPr>
        <w:spacing w:before="0" w:after="0" w:line="408" w:lineRule="exact"/>
        <w:ind w:left="0" w:right="0" w:firstLine="576"/>
        <w:jc w:val="left"/>
      </w:pPr>
      <w:r>
        <w:rPr>
          <w:u w:val="single"/>
        </w:rPr>
        <w:t xml:space="preserve">(b) Sexual exploitation;</w:t>
      </w:r>
    </w:p>
    <w:p>
      <w:pPr>
        <w:spacing w:before="0" w:after="0" w:line="408" w:lineRule="exact"/>
        <w:ind w:left="0" w:right="0" w:firstLine="576"/>
        <w:jc w:val="left"/>
      </w:pPr>
      <w:r>
        <w:rPr>
          <w:u w:val="single"/>
        </w:rPr>
        <w:t xml:space="preserve">(c) A high-potency synthetic opioid; or</w:t>
      </w:r>
    </w:p>
    <w:p>
      <w:pPr>
        <w:spacing w:before="0" w:after="0" w:line="408" w:lineRule="exact"/>
        <w:ind w:left="0" w:right="0" w:firstLine="576"/>
        <w:jc w:val="left"/>
      </w:pPr>
      <w:r>
        <w:rPr>
          <w:u w:val="single"/>
        </w:rPr>
        <w:t xml:space="preserve">(d)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w:t>
      </w:r>
      <w:r>
        <w:rPr>
          <w:u w:val="single"/>
        </w:rPr>
        <w:t xml:space="preserve">(a)</w:t>
      </w:r>
      <w:r>
        <w:rPr/>
        <w:t xml:space="preserve">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u w:val="single"/>
        </w:rPr>
        <w:t xml:space="preserve">(b) The child abuse or neglect establishing the basis for a determination of imminent physical harm under (a) of this subsection may include, but is not limited to, child abuse or neglect resulting from:</w:t>
      </w:r>
    </w:p>
    <w:p>
      <w:pPr>
        <w:spacing w:before="0" w:after="0" w:line="408" w:lineRule="exact"/>
        <w:ind w:left="0" w:right="0" w:firstLine="576"/>
        <w:jc w:val="left"/>
      </w:pPr>
      <w:r>
        <w:rPr>
          <w:u w:val="single"/>
        </w:rPr>
        <w:t xml:space="preserve">(i) Sexual abuse;</w:t>
      </w:r>
    </w:p>
    <w:p>
      <w:pPr>
        <w:spacing w:before="0" w:after="0" w:line="408" w:lineRule="exact"/>
        <w:ind w:left="0" w:right="0" w:firstLine="576"/>
        <w:jc w:val="left"/>
      </w:pPr>
      <w:r>
        <w:rPr>
          <w:u w:val="single"/>
        </w:rPr>
        <w:t xml:space="preserve">(ii) Sexual exploitation;</w:t>
      </w:r>
    </w:p>
    <w:p>
      <w:pPr>
        <w:spacing w:before="0" w:after="0" w:line="408" w:lineRule="exact"/>
        <w:ind w:left="0" w:right="0" w:firstLine="576"/>
        <w:jc w:val="left"/>
      </w:pPr>
      <w:r>
        <w:rPr>
          <w:u w:val="single"/>
        </w:rPr>
        <w:t xml:space="preserve">(iii) A high-potency synthetic opioid; or</w:t>
      </w:r>
    </w:p>
    <w:p>
      <w:pPr>
        <w:spacing w:before="0" w:after="0" w:line="408" w:lineRule="exact"/>
        <w:ind w:left="0" w:right="0" w:firstLine="576"/>
        <w:jc w:val="left"/>
      </w:pPr>
      <w:r>
        <w:rPr>
          <w:u w:val="single"/>
        </w:rPr>
        <w:t xml:space="preserve">(iv) A pattern of severe neglect.</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w:t>
      </w:r>
      <w:r>
        <w:rPr>
          <w:u w:val="single"/>
        </w:rPr>
        <w:t xml:space="preserve">(a)</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u w:val="single"/>
        </w:rPr>
        <w:t xml:space="preserve">(b) </w:t>
      </w:r>
      <w:r>
        <w:rPr>
          <w:u w:val="single"/>
        </w:rPr>
        <w:t xml:space="preserve">The department shall also make available to department staff high-potency synthetic opioid testing strips that can detect the presence of high-potency synthetic opioids that may be used when investigating alleged child abuse and neglect referrals and otherwise as appropriate.</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abuse;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The risk and danger presented to children and youth by </w:t>
      </w:r>
      <w:r>
        <w:rPr>
          <w:u w:val="single"/>
        </w:rPr>
        <w:t xml:space="preserve">high-potency</w:t>
      </w:r>
      <w:r>
        <w:rPr>
          <w:u w:val="single"/>
        </w:rPr>
        <w:t xml:space="preserve"> synthetic opioids;</w:t>
      </w:r>
    </w:p>
    <w:p>
      <w:pPr>
        <w:spacing w:before="0" w:after="0" w:line="408" w:lineRule="exact"/>
        <w:ind w:left="0" w:right="0" w:firstLine="576"/>
        <w:jc w:val="left"/>
      </w:pPr>
      <w:r>
        <w:rPr>
          <w:u w:val="single"/>
        </w:rPr>
        <w:t xml:space="preserve">(xvi) Policies and procedures of the department of children, youth, and families regarding safety and service planning including the differences between safety plans and service plans; and</w:t>
      </w:r>
    </w:p>
    <w:p>
      <w:pPr>
        <w:spacing w:before="0" w:after="0" w:line="408" w:lineRule="exact"/>
        <w:ind w:left="0" w:right="0" w:firstLine="576"/>
        <w:jc w:val="left"/>
      </w:pPr>
      <w:r>
        <w:rPr>
          <w:u w:val="single"/>
        </w:rPr>
        <w:t xml:space="preserve">(xvii)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up to 150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established by the department.</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implement and maintain a program that provides support to child welfare workers from public health nurses. The support provided by public health nurses under this section must include supporting child welfare workers in:</w:t>
      </w:r>
    </w:p>
    <w:p>
      <w:pPr>
        <w:spacing w:before="0" w:after="0" w:line="408" w:lineRule="exact"/>
        <w:ind w:left="0" w:right="0" w:firstLine="576"/>
        <w:jc w:val="left"/>
      </w:pPr>
      <w:r>
        <w:rPr/>
        <w:t xml:space="preserve">(1) Engaging and communicating with families about the risks of high-potency synthetic opioids and child health and safety practices;</w:t>
      </w:r>
    </w:p>
    <w:p>
      <w:pPr>
        <w:spacing w:before="0" w:after="0" w:line="408" w:lineRule="exact"/>
        <w:ind w:left="0" w:right="0" w:firstLine="576"/>
        <w:jc w:val="left"/>
      </w:pPr>
      <w:r>
        <w:rPr/>
        <w:t xml:space="preserve">(2) Developing standardized risk assessment procedures related to high-potency synthetic opioids; and</w:t>
      </w:r>
    </w:p>
    <w:p>
      <w:pPr>
        <w:spacing w:before="0" w:after="0" w:line="408" w:lineRule="exact"/>
        <w:ind w:left="0" w:right="0" w:firstLine="576"/>
        <w:jc w:val="left"/>
      </w:pPr>
      <w:r>
        <w:rPr/>
        <w:t xml:space="preserve">(3) Determining the level of risk presented to a child or children in specific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substance use disorder inpatient program that specializes in treating pregnant and parenting women using a family preservation model.</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 Funding provided under this section may be used for documented start-up costs including the recruitment, hiring, and training of staff.</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0" w:after="0" w:line="408" w:lineRule="exact"/>
        <w:ind w:left="0" w:right="0" w:firstLine="576"/>
        <w:jc w:val="left"/>
      </w:pPr>
      <w:r>
        <w:rPr/>
        <w:t xml:space="preserve">(4) Entities contracted to provide services authorized in subsection (1) of this section must allow families to reside together while a parent is receiving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grant program that provides grant funding to a nonprofit organization to provide supports, including behavioral health resources, housing services, and parenting education, to parents with substance use disorders in order to reduce the need for foster care placement or to shorten the time that children remain in out-of-home care when placement is necessary. The grant recipient must be a nonprofit organization that provides a parent-child assistance program and focuses on building parenting skills and confidence to ensure children have safe and healthy childhoods.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four legal liaison positions shall be established within the department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in families who do not have natural supports to aid in safety planning.</w:t>
      </w:r>
    </w:p>
    <w:p/>
    <w:p>
      <w:pPr>
        <w:jc w:val="center"/>
      </w:pPr>
      <w:r>
        <w:rPr>
          <w:b/>
        </w:rPr>
        <w:t>--- END ---</w:t>
      </w:r>
    </w:p>
    <w:sectPr>
      <w:pgNumType w:start="1"/>
      <w:footerReference xmlns:r="http://schemas.openxmlformats.org/officeDocument/2006/relationships" r:id="Rbd8f09b00bb040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f52d372cc4e7c" /><Relationship Type="http://schemas.openxmlformats.org/officeDocument/2006/relationships/footer" Target="/word/footer1.xml" Id="Rbd8f09b00bb04015" /></Relationships>
</file>