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6d8e4b3a134fd9" /></Relationships>
</file>

<file path=word/document.xml><?xml version="1.0" encoding="utf-8"?>
<w:document xmlns:w="http://schemas.openxmlformats.org/wordprocessingml/2006/main">
  <w:body>
    <w:p>
      <w:r>
        <w:t>H-2740.1</w:t>
      </w:r>
    </w:p>
    <w:p>
      <w:pPr>
        <w:jc w:val="center"/>
      </w:pPr>
      <w:r>
        <w:t>_______________________________________________</w:t>
      </w:r>
    </w:p>
    <w:p/>
    <w:p>
      <w:pPr>
        <w:jc w:val="center"/>
      </w:pPr>
      <w:r>
        <w:rPr>
          <w:b/>
        </w:rPr>
        <w:t>HOUSE BILL 2449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Hutchins, Corry, Schmick, Stokesbary, Christian, Connors, Jacobsen, Sandlin, Schmidt, Goehner, Eslick, Volz, Rude, Klicker, Cheney, and Caldier</w:t>
      </w:r>
    </w:p>
    <w:p/>
    <w:p>
      <w:r>
        <w:rPr>
          <w:t xml:space="preserve">Read first time 01/22/24.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health care by dedicating a percentage of the cannabis tax revenue to medicaid rate increases for professional health care services; amending RCW 69.50.540; reenacting and amending RCW 43.84.092, 43.84.092, and 43.84.092; adding a new chapter to Title 74 RCW;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"Inflation factor" means an index published in the federal register used in the calculation of changes to determine allowed charges for physician services that is known as the medicare economic index.</w:t>
      </w:r>
    </w:p>
    <w:p>
      <w:pPr>
        <w:spacing w:before="0" w:after="0" w:line="408" w:lineRule="exact"/>
        <w:ind w:left="0" w:right="0" w:firstLine="576"/>
        <w:jc w:val="left"/>
      </w:pPr>
      <w:r>
        <w:rPr/>
        <w:t xml:space="preserve">(2) "Medicaid managed care organization" means a managed health care system under contract with the state of Washington to provide services to medicaid enrollees under RCW 74.09.522.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professional health care services rate enhancement account is created in the state treasury. All receipts from RCW 69.50.540(3)(d) must be deposited into the account as well as any amounts expended from the account that are later recouped by the health care authority through audit or otherwise must be returned to the account. Moneys in the account may be spent only after appropriation as provided in this chapter. Expenditures from the account may be used only for medicaid professional service rates in accordance with this chapter as follows: To make payments to health care providers and managed care organizations as specified in this chapter; and to medicaid managed care organizations for funding the nonfederal share of increased capitation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expenditures made after appropriation under section 2 of this act are conditioned upon the continued availability of other funds sufficient to maintain professional services payment rates covered by medicaid, including fee-for-service and managed care, effective January 1, 2026, but no less than the corresponding medicare rates for those services on October 1, 2023. Rates for subsequent years shall be annually adjusted based on the inflation factor.</w:t>
      </w:r>
    </w:p>
    <w:p>
      <w:pPr>
        <w:spacing w:before="0" w:after="0" w:line="408" w:lineRule="exact"/>
        <w:ind w:left="0" w:right="0" w:firstLine="576"/>
        <w:jc w:val="left"/>
      </w:pPr>
      <w:r>
        <w:rPr/>
        <w:t xml:space="preserve">(2) The health care authority may adopt rules to determine the professional services included under this chapter. Rules must be adopted by July 1, 2025, and must include all covered professional services that are delivered by physicians, physician assistants, and advanced registered nurse practitioners.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later of January 1, 2026, or 30 calendar days after satisfaction of the conditions in section 5 of this act and subsection (2) of this section, and for each subsequent calendar year so long as none of the conditions stated in section 5 of this act have occurred, the authority shall make quarterly payments to medicaid managed care organizations as specified in this section and in a manner consistent with federal contracting requirements. The authority shall direct payments from managed care organizations to health care providers.</w:t>
      </w:r>
    </w:p>
    <w:p>
      <w:pPr>
        <w:spacing w:before="0" w:after="0" w:line="408" w:lineRule="exact"/>
        <w:ind w:left="0" w:right="0" w:firstLine="576"/>
        <w:jc w:val="left"/>
      </w:pPr>
      <w:r>
        <w:rPr/>
        <w:t xml:space="preserve">(2) Before making payments under this section, the authority shall modify its contracts with managed care organizations or otherwise require:</w:t>
      </w:r>
    </w:p>
    <w:p>
      <w:pPr>
        <w:spacing w:before="0" w:after="0" w:line="408" w:lineRule="exact"/>
        <w:ind w:left="0" w:right="0" w:firstLine="576"/>
        <w:jc w:val="left"/>
      </w:pPr>
      <w:r>
        <w:rPr/>
        <w:t xml:space="preserve">(a) Payment of the entire amount payable to health care providers as directed by the authority under subsection (3) of this section, less an allowance for premium taxes the organization is required to pay under Title 48 RCW and for funding the nonfederal share of increased capitation payments based on their projected assessment under this chapter;</w:t>
      </w:r>
    </w:p>
    <w:p>
      <w:pPr>
        <w:spacing w:before="0" w:after="0" w:line="408" w:lineRule="exact"/>
        <w:ind w:left="0" w:right="0" w:firstLine="576"/>
        <w:jc w:val="left"/>
      </w:pPr>
      <w:r>
        <w:rPr/>
        <w:t xml:space="preserve">(b) That payments to health care providers be made as part of the contracted reimbursement process;</w:t>
      </w:r>
    </w:p>
    <w:p>
      <w:pPr>
        <w:spacing w:before="0" w:after="0" w:line="408" w:lineRule="exact"/>
        <w:ind w:left="0" w:right="0" w:firstLine="576"/>
        <w:jc w:val="left"/>
      </w:pPr>
      <w:r>
        <w:rPr/>
        <w:t xml:space="preserve">(c) That any delegation or attempted delegation of an organization's obligations under agreements with the authority does not relieve the organization of its obligations under this section and related contract provisions; and</w:t>
      </w:r>
    </w:p>
    <w:p>
      <w:pPr>
        <w:spacing w:before="0" w:after="0" w:line="408" w:lineRule="exact"/>
        <w:ind w:left="0" w:right="0" w:firstLine="576"/>
        <w:jc w:val="left"/>
      </w:pPr>
      <w:r>
        <w:rPr/>
        <w:t xml:space="preserve">(d) That if funds cannot be paid to health care providers, the managed care organization shall return the funds to the health care authority, which shall return them to the professional health care services rate enhancement account.</w:t>
      </w:r>
    </w:p>
    <w:p>
      <w:pPr>
        <w:spacing w:before="0" w:after="0" w:line="408" w:lineRule="exact"/>
        <w:ind w:left="0" w:right="0" w:firstLine="576"/>
        <w:jc w:val="left"/>
      </w:pPr>
      <w:r>
        <w:rPr/>
        <w:t xml:space="preserve">(3) If federal restrictions prevent the full amount of payments under this section from being delivered to any class or classes of health care provider, the health care authority, in consultation with the Washington state medical association, will alter payment rates for medicaid professional services.</w:t>
      </w:r>
    </w:p>
    <w:p>
      <w:pPr>
        <w:spacing w:before="0" w:after="0" w:line="408" w:lineRule="exact"/>
        <w:ind w:left="0" w:right="0" w:firstLine="576"/>
        <w:jc w:val="left"/>
      </w:pPr>
      <w:r>
        <w:rPr/>
        <w:t xml:space="preserve">(4) If a managed care organization is legally obligated to repay the state or federal government amounts distributed to health care providers under this section, it may recoup the amount it is obligated to repay from individual health care providers under the medicaid program by not more than the amount of overpayment each health care provider received from that managed care organization.</w:t>
      </w:r>
    </w:p>
    <w:p>
      <w:pPr>
        <w:spacing w:before="0" w:after="0" w:line="408" w:lineRule="exact"/>
        <w:ind w:left="0" w:right="0" w:firstLine="576"/>
        <w:jc w:val="left"/>
      </w:pPr>
      <w:r>
        <w:rPr/>
        <w:t xml:space="preserve">(5) No health care provider, health carrier, or managed care organization may use the payments under this section to gain advantage in negotiations.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assessment, collection, and disbursement of funds under this chapter shall be conditional upon:</w:t>
      </w:r>
    </w:p>
    <w:p>
      <w:pPr>
        <w:spacing w:before="0" w:after="0" w:line="408" w:lineRule="exact"/>
        <w:ind w:left="0" w:right="0" w:firstLine="576"/>
        <w:jc w:val="left"/>
      </w:pPr>
      <w:r>
        <w:rPr/>
        <w:t xml:space="preserve">(1) Final approval by the centers for medicare and medicaid services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(2)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(3) Certification by the office of financial management that appropriations have been adopted that fully support the rates established in this chapter for the upcoming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13, 2023 c 431 s 9, 2023 c 389 s 9, 2023 c 377 s 6, 2023 c 340 s 9, 2023 c 110 s 2, 2023 c 73 s 9, and 2023 c 41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rPr>
          <w:u w:val="single"/>
        </w:rPr>
        <w:t xml:space="preserve">the professional health care services rate enhancement account,</w:t>
      </w:r>
      <w:r>
        <w:rPr/>
        <w:t xml:space="preserve">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rPr>
          <w:u w:val="single"/>
        </w:rPr>
        <w:t xml:space="preserve">the professional health care services rate enhancement account,</w:t>
      </w:r>
      <w:r>
        <w:rPr/>
        <w:t xml:space="preserve">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rPr>
          <w:u w:val="single"/>
        </w:rPr>
        <w:t xml:space="preserve">the professional health care services rate enhancement account,</w:t>
      </w:r>
      <w:r>
        <w:rPr/>
        <w:t xml:space="preserve">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w:t>
      </w:r>
      <w:r>
        <w:t>((</w:t>
      </w:r>
      <w:r>
        <w:rPr>
          <w:strike/>
        </w:rPr>
        <w:t xml:space="preserve">Fifty-two</w:t>
      </w:r>
      <w:r>
        <w:t>))</w:t>
      </w:r>
      <w:r>
        <w:rPr/>
        <w:t xml:space="preserve"> </w:t>
      </w:r>
      <w:r>
        <w:rPr>
          <w:u w:val="single"/>
        </w:rPr>
        <w:t xml:space="preserve">52</w:t>
      </w:r>
      <w:r>
        <w:rPr/>
        <w:t xml:space="preserve">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w:t>
      </w:r>
      <w:r>
        <w:t>((</w:t>
      </w:r>
      <w:r>
        <w:rPr>
          <w:strike/>
        </w:rPr>
        <w:t xml:space="preserve">Eleven</w:t>
      </w:r>
      <w:r>
        <w:t>))</w:t>
      </w:r>
      <w:r>
        <w:rPr/>
        <w:t xml:space="preserve"> </w:t>
      </w:r>
      <w:r>
        <w:rPr>
          <w:u w:val="single"/>
        </w:rPr>
        <w:t xml:space="preserve">11</w:t>
      </w:r>
      <w:r>
        <w:rPr/>
        <w:t xml:space="preserve">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w:t>
      </w:r>
      <w:r>
        <w:t>((</w:t>
      </w:r>
      <w:r>
        <w:rPr>
          <w:strike/>
        </w:rPr>
        <w:t xml:space="preserve">Thirty-two</w:t>
      </w:r>
      <w:r>
        <w:t>))</w:t>
      </w:r>
      <w:r>
        <w:rPr/>
        <w:t xml:space="preserve"> </w:t>
      </w:r>
      <w:r>
        <w:rPr>
          <w:u w:val="single"/>
        </w:rPr>
        <w:t xml:space="preserve">32</w:t>
      </w:r>
      <w:r>
        <w:rPr/>
        <w:t xml:space="preserve"> percent must be deposited in the </w:t>
      </w:r>
      <w:r>
        <w:t>((</w:t>
      </w:r>
      <w:r>
        <w:rPr>
          <w:strike/>
        </w:rPr>
        <w:t xml:space="preserve">state general fund</w:t>
      </w:r>
      <w:r>
        <w:t>))</w:t>
      </w:r>
      <w:r>
        <w:rPr/>
        <w:t xml:space="preserve"> </w:t>
      </w:r>
      <w:r>
        <w:rPr>
          <w:u w:val="single"/>
        </w:rPr>
        <w:t xml:space="preserve">professional health care services rate enhancement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74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July 1, 2024.</w:t>
      </w:r>
    </w:p>
    <w:p>
      <w:pPr>
        <w:spacing w:before="0" w:after="0" w:line="408" w:lineRule="exact"/>
        <w:ind w:left="0" w:right="0" w:firstLine="576"/>
        <w:jc w:val="left"/>
      </w:pPr>
      <w:r>
        <w:rPr/>
        <w:t xml:space="preserve">(2) Section 7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July 1, 2024.</w:t>
      </w:r>
    </w:p>
    <w:p>
      <w:pPr>
        <w:spacing w:before="0" w:after="0" w:line="408" w:lineRule="exact"/>
        <w:ind w:left="0" w:right="0" w:firstLine="576"/>
        <w:jc w:val="left"/>
      </w:pPr>
      <w:r>
        <w:rPr/>
        <w:t xml:space="preserve">(2) Section 8 of this act takes effect July 1, 2028.</w:t>
      </w:r>
    </w:p>
    <w:p/>
    <w:p>
      <w:pPr>
        <w:jc w:val="center"/>
      </w:pPr>
      <w:r>
        <w:rPr>
          <w:b/>
        </w:rPr>
        <w:t>--- END ---</w:t>
      </w:r>
    </w:p>
    <w:sectPr>
      <w:pgNumType w:start="1"/>
      <w:footerReference xmlns:r="http://schemas.openxmlformats.org/officeDocument/2006/relationships" r:id="Re3110946a4b54e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fe89aa693e4d53" /><Relationship Type="http://schemas.openxmlformats.org/officeDocument/2006/relationships/footer" Target="/word/footer1.xml" Id="Re3110946a4b54ec3" /></Relationships>
</file>