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fa100537754b6e" /></Relationships>
</file>

<file path=word/document.xml><?xml version="1.0" encoding="utf-8"?>
<w:document xmlns:w="http://schemas.openxmlformats.org/wordprocessingml/2006/main">
  <w:body>
    <w:p>
      <w:r>
        <w:t>H-2811.1</w:t>
      </w:r>
    </w:p>
    <w:p>
      <w:pPr>
        <w:jc w:val="center"/>
      </w:pPr>
      <w:r>
        <w:t>_______________________________________________</w:t>
      </w:r>
    </w:p>
    <w:p/>
    <w:p>
      <w:pPr>
        <w:jc w:val="center"/>
      </w:pPr>
      <w:r>
        <w:rPr>
          <w:b/>
        </w:rPr>
        <w:t>HOUSE JOINT RESOLUTION 4212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Maycumber, Walsh, and McClintock</w:t>
      </w:r>
    </w:p>
    <w:p/>
    <w:p>
      <w:r>
        <w:rPr>
          <w:t xml:space="preserve">Read first time 01/24/24.  </w:t>
        </w:rPr>
      </w:r>
      <w:r>
        <w:rPr>
          <w:t xml:space="preserve">Referred to Committee on Agriculture and Natural Resources.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 of the Constitution of the state of Washington by adding a new section to read as follows:</w:t>
      </w:r>
    </w:p>
    <w:p>
      <w:pPr>
        <w:spacing w:before="0" w:after="0" w:line="408" w:lineRule="exact"/>
        <w:ind w:left="0" w:right="0" w:firstLine="576"/>
        <w:jc w:val="left"/>
      </w:pPr>
      <w:r>
        <w:rPr/>
        <w:t xml:space="preserve">Article I, section . . .. From the time humans first occupied this land, hunting, fishing, and foraging have been a necessity and a cultural right. The rights to forage, hunt, fish, and trap, including the use of traditional methods, are a valued part of the heritage of the state of Washington and shall forever be preserved for the people and managed through the laws, rules, and proclamations that preserve the future of hunting, fishing, and trapping. All the people of this state shall have an inalienable right to forage, hunt, fish, trap, and harvest wildlife and fish, subject only to reasonable regulation as prescribed by the Washington state legislature and executive branch. Traditional methods, practices, and procedures of harvest are the preferred means of managing game and fish. Nothing in this section may be construed to modify any provision of common law or statutes relating to trespass, eminent domain, or any other property rights, nor does this section supersede, limit, interpret, or infringe upon any established tribal treaty rights.</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6636480ffb2042f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52fd9d97b24524" /><Relationship Type="http://schemas.openxmlformats.org/officeDocument/2006/relationships/footer" Target="/word/footer1.xml" Id="R6636480ffb2042fe" /></Relationships>
</file>