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7a9bd1e6e084c9b"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HOUSE BILL 1017</w:t>
      </w:r>
    </w:p>
    <w:p>
      <w:pPr>
        <w:jc w:val="center"/>
        <w:spacing w:before="720" w:after="0" w:line="240"/>
      </w:pPr>
      <w:r>
        <w:t>68th Legislature</w:t>
      </w:r>
    </w:p>
    <w:p>
      <w:pPr>
        <w:jc w:val="center"/>
        <w:spacing w:before="0" w:after="1440" w:line="240"/>
      </w:pPr>
      <w:r>
        <w:t>2023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January 25, 2023</w:t>
            </w:r>
          </w:p>
          <w:p>
            <w:pPr>
              <w:ind w:left="0" w:right="0" w:firstLine="360"/>
            </w:pPr>
            <w:r>
              <w:t xml:space="preserve">Yeas </w:t>
              <w:t xml:space="preserve">96</w:t>
            </w:r>
            <w:r>
              <w:t xml:space="preserve">  Nays </w:t>
              <w:t xml:space="preserve">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31, 2023</w:t>
            </w:r>
          </w:p>
          <w:p>
            <w:pPr>
              <w:ind w:left="0" w:right="0" w:firstLine="360"/>
            </w:pPr>
            <w:r>
              <w:t xml:space="preserve">Yeas </w:t>
              <w:t xml:space="preserve">48</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HOUSE BILL 1017</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HOUSE BILL 1017</w:t>
      </w:r>
    </w:p>
    <w:p>
      <w:pPr>
        <w:jc w:val="center"/>
      </w:pPr>
      <w:r>
        <w:t>_______________________________________________</w:t>
      </w:r>
    </w:p>
    <w:p/>
    <w:p>
      <w:pPr>
        <w:jc w:val="center"/>
      </w:pPr>
      <w:r>
        <w:t>Passed Legislature</w:t>
      </w:r>
      <w:r>
        <w:t xml:space="preserve"> - </w:t>
        <w:t>2023 Regular Session</w:t>
      </w:r>
    </w:p>
    <w:p/>
    <w:p>
      <w:r>
        <w:rPr>
          <w:b/>
        </w:rPr>
        <w:t>State of Washington</w:t>
        <w:tab/>
        <w:tab/>
      </w:r>
      <w:r>
        <w:rPr>
          <w:b/>
        </w:rPr>
        <w:t>68th Legislature</w:t>
        <w:tab/>
      </w:r>
      <w:r>
        <w:rPr>
          <w:b/>
        </w:rPr>
        <w:t>2023 Regular Session</w:t>
      </w:r>
    </w:p>
    <w:p/>
    <w:p>
      <w:r>
        <w:rPr>
          <w:b/>
        </w:rPr>
        <w:t xml:space="preserve">By </w:t>
      </w:r>
      <w:r>
        <w:t>Representatives Ryu, Leavitt, Chambers, Simmons, Jacobsen, Reed, Graham, Lekanoff, Caldier, Timmons, Reeves, Tharinger, Springer, Thai, Santos, and Riccelli</w:t>
      </w:r>
    </w:p>
    <w:p/>
    <w:p>
      <w:r>
        <w:rPr>
          <w:t xml:space="preserve">Prefiled 12/07/22.</w:t>
        </w:rPr>
      </w:r>
      <w:r>
        <w:rPr>
          <w:t xml:space="preserve">Read first time 01/09/23.  </w:t>
        </w:rPr>
      </w:r>
      <w:r>
        <w:rPr>
          <w:t xml:space="preserve">Referred to Committee on Consumer Protection &amp; Business.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expediting licensure for cosmetologists, hair designers, barbers, manicurists, and estheticians; and amending RCW 18.16.090.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16</w:t>
      </w:r>
      <w:r>
        <w:rPr/>
        <w:t xml:space="preserve">.</w:t>
      </w:r>
      <w:r>
        <w:t xml:space="preserve">090</w:t>
      </w:r>
      <w:r>
        <w:rPr/>
        <w:t xml:space="preserve"> and 2003 c 400 s 4 are each amended to read as follows:</w:t>
      </w:r>
    </w:p>
    <w:p>
      <w:pPr>
        <w:spacing w:before="0" w:after="0" w:line="408" w:lineRule="exact"/>
        <w:ind w:left="0" w:right="0" w:firstLine="576"/>
        <w:jc w:val="left"/>
      </w:pPr>
      <w:r>
        <w:rPr/>
        <w:t xml:space="preserve">Examinations for licensure under this chapter shall be conducted at such times and places as the director determines appropriate. Examinations shall consist of tests designed to reasonably measure the applicant's knowledge of safe and sanitary practices and may also include the applicant's knowledge of this chapter and rules adopted pursuant to this chapter. The director may establish by rule a performance examination in addition to any other examination. The director shall establish by rule the minimum passing score for all examinations and the requirements for reexamination of applicants who fail the examination or examinations. The director may allow an independent person to conduct the examinations at the expense of the applicants. </w:t>
      </w:r>
    </w:p>
    <w:p>
      <w:pPr>
        <w:spacing w:before="0" w:after="0" w:line="408" w:lineRule="exact"/>
        <w:ind w:left="0" w:right="0" w:firstLine="576"/>
        <w:jc w:val="left"/>
      </w:pPr>
      <w:r>
        <w:rPr/>
        <w:t xml:space="preserve">The director shall take steps to ensure that after completion of the required course or apprenticeship program, applicants may promptly take the examination and receive the results of the examination. </w:t>
      </w:r>
      <w:r>
        <w:rPr>
          <w:u w:val="single"/>
        </w:rPr>
        <w:t xml:space="preserve">The director may allow an applicant to register for or take an examination before the applicant has completed the required hours of course instruction, if the applicant is within 100 hours of completion, but the applicant must complete the required hours of course instruction before licensure.</w:t>
      </w:r>
    </w:p>
    <w:p/>
    <w:p>
      <w:pPr>
        <w:jc w:val="center"/>
      </w:pPr>
      <w:r>
        <w:rPr>
          <w:b/>
        </w:rPr>
        <w:t>--- END ---</w:t>
      </w:r>
    </w:p>
    <w:sectPr>
      <w:pgNumType w:start="1"/>
      <w:footerReference xmlns:r="http://schemas.openxmlformats.org/officeDocument/2006/relationships" r:id="R2e640bcea3384f21"/>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1017.PL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51886c5999d46c8" /><Relationship Type="http://schemas.openxmlformats.org/officeDocument/2006/relationships/footer" Target="/word/footer1.xml" Id="R2e640bcea3384f21" /></Relationships>
</file>