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c6c179189f41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1218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1218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1218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Bergquist, Stokesbary, Tharinger, Doglio, and Macri; by request of Office of Financial Management</w:t>
      </w:r>
    </w:p>
    <w:p/>
    <w:p>
      <w:r>
        <w:rPr>
          <w:t xml:space="preserve">Read first time 01/10/23.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new caseload for the official caseload forecast for the number of people eligible for the working families' tax credit under RCW 82.08.0206; and amending RCW 43.88C.010.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2022 c 219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students who are eligible for the Washington college grant program under RCW 28B.92.200 and 28B.92.205 and are expected to attend an institution of higher education as defined in RCW 28B.92.030; </w:t>
      </w:r>
      <w:r>
        <w:t>((</w:t>
      </w:r>
      <w:r>
        <w:rPr>
          <w:strike/>
        </w:rPr>
        <w:t xml:space="preserve">and</w:t>
      </w:r>
      <w:r>
        <w:t>))</w:t>
      </w:r>
    </w:p>
    <w:p>
      <w:pPr>
        <w:spacing w:before="0" w:after="0" w:line="408" w:lineRule="exact"/>
        <w:ind w:left="0" w:right="0" w:firstLine="576"/>
        <w:jc w:val="left"/>
      </w:pPr>
      <w:r>
        <w:rPr/>
        <w:t xml:space="preserve">(d) The number of children who are eligible, as defined in RCW 43.216.505, to participate in, and the number of children actually served by, the early childhood education and assistance program</w:t>
      </w:r>
      <w:r>
        <w:rPr>
          <w:u w:val="single"/>
        </w:rPr>
        <w:t xml:space="preserve">; and</w:t>
      </w:r>
    </w:p>
    <w:p>
      <w:pPr>
        <w:spacing w:before="0" w:after="0" w:line="408" w:lineRule="exact"/>
        <w:ind w:left="0" w:right="0" w:firstLine="576"/>
        <w:jc w:val="left"/>
      </w:pPr>
      <w:r>
        <w:rPr>
          <w:u w:val="single"/>
        </w:rPr>
        <w:t xml:space="preserve">(e) Beginning with the first official forecast after the effective date of this section, the number of people eligible for the working families' tax credit under RCW 82.08.0206. The total number of people eligible for the working families' tax credit should include:</w:t>
      </w:r>
    </w:p>
    <w:p>
      <w:pPr>
        <w:spacing w:before="0" w:after="0" w:line="408" w:lineRule="exact"/>
        <w:ind w:left="0" w:right="0" w:firstLine="576"/>
        <w:jc w:val="left"/>
      </w:pPr>
      <w:r>
        <w:rPr>
          <w:u w:val="single"/>
        </w:rPr>
        <w:t xml:space="preserve">(i) The number of eligible people with no qualifying children;</w:t>
      </w:r>
    </w:p>
    <w:p>
      <w:pPr>
        <w:spacing w:before="0" w:after="0" w:line="408" w:lineRule="exact"/>
        <w:ind w:left="0" w:right="0" w:firstLine="576"/>
        <w:jc w:val="left"/>
      </w:pPr>
      <w:r>
        <w:rPr>
          <w:u w:val="single"/>
        </w:rPr>
        <w:t xml:space="preserve">(ii) The number of eligible people with one qualifying child;</w:t>
      </w:r>
    </w:p>
    <w:p>
      <w:pPr>
        <w:spacing w:before="0" w:after="0" w:line="408" w:lineRule="exact"/>
        <w:ind w:left="0" w:right="0" w:firstLine="576"/>
        <w:jc w:val="left"/>
      </w:pPr>
      <w:r>
        <w:rPr>
          <w:u w:val="single"/>
        </w:rPr>
        <w:t xml:space="preserve">(iii) The number of eligible people with two qualifying children; and</w:t>
      </w:r>
    </w:p>
    <w:p>
      <w:pPr>
        <w:spacing w:before="0" w:after="0" w:line="408" w:lineRule="exact"/>
        <w:ind w:left="0" w:right="0" w:firstLine="576"/>
        <w:jc w:val="left"/>
      </w:pPr>
      <w:r>
        <w:rPr>
          <w:u w:val="single"/>
        </w:rPr>
        <w:t xml:space="preserve">(iv) The number of eligible people with three or more qualifying children</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By January 1, 2023, the caseload forecast council shall present the number of individuals who are assessed as eligible for and have requested a service through the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(10) Beginning with the official forecast submitted in November 2022 and subject to the availability of amounts appropriated for this specific purpose, the caseload forecast council shall forecast the number of individuals who are assessed as eligible for and have requested supported living services, a service through the core waiver, an individual and family services waiver, and the basic plus waiver administered by the developmental disabilities administration as a courtesy. The caseload forecast council shall be presented with the service request list as defined in RCW 71A.10.020 to aid in development of this information.</w:t>
      </w:r>
    </w:p>
    <w:p>
      <w:pPr>
        <w:spacing w:before="0" w:after="0" w:line="408" w:lineRule="exact"/>
        <w:ind w:left="0" w:right="0" w:firstLine="576"/>
        <w:jc w:val="left"/>
      </w:pPr>
      <w:r>
        <w:rPr/>
        <w:t xml:space="preserve">(11) As a courtesy, beginning with the official forecast submitted in November 2022, the caseload forecast council shall forecast the number of individuals who are expected to reside in state-operated living alternatives administered by the developmental disabilities administration.</w:t>
      </w:r>
    </w:p>
    <w:p>
      <w:pPr>
        <w:spacing w:before="0" w:after="0" w:line="408" w:lineRule="exact"/>
        <w:ind w:left="0" w:right="0" w:firstLine="576"/>
        <w:jc w:val="left"/>
      </w:pPr>
      <w:r>
        <w:rPr/>
        <w:t xml:space="preserve">(12)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(13) The caseload forecast council shall forecast the number of youth expected to receive behavioral rehabilitation services while involved in the foster care system and the number of screened in reports of child abuse or neglect.</w:t>
      </w:r>
    </w:p>
    <w:p>
      <w:pPr>
        <w:spacing w:before="0" w:after="0" w:line="408" w:lineRule="exact"/>
        <w:ind w:left="0" w:right="0" w:firstLine="576"/>
        <w:jc w:val="left"/>
      </w:pPr>
      <w:r>
        <w:rPr/>
        <w:t xml:space="preserve">(14) Unless the context clearly requires otherwise, the definitions provided in RCW 43.88.020 apply to this chapter.</w:t>
      </w:r>
    </w:p>
    <w:p>
      <w:pPr>
        <w:spacing w:before="0" w:after="0" w:line="408" w:lineRule="exact"/>
        <w:ind w:left="0" w:right="0" w:firstLine="576"/>
        <w:jc w:val="left"/>
      </w:pPr>
      <w:r>
        <w:rPr/>
        <w:t xml:space="preserve">(15) During the 2021-2023 fiscal biennium, and beginning with the November 2021 forecast, the caseload forecast council shall produce an unofficial forecast of the long-term caseload for juvenile rehabilitation as a courtesy.</w:t>
      </w:r>
    </w:p>
    <w:p/>
    <w:p>
      <w:pPr>
        <w:jc w:val="center"/>
      </w:pPr>
      <w:r>
        <w:rPr>
          <w:b/>
        </w:rPr>
        <w:t>--- END ---</w:t>
      </w:r>
    </w:p>
    <w:sectPr>
      <w:pgNumType w:start="1"/>
      <w:footerReference xmlns:r="http://schemas.openxmlformats.org/officeDocument/2006/relationships" r:id="R4e5dbf99dc1548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f8b8bb59014936" /><Relationship Type="http://schemas.openxmlformats.org/officeDocument/2006/relationships/footer" Target="/word/footer1.xml" Id="R4e5dbf99dc15486e" /></Relationships>
</file>