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9a8d5b1164af6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1407</w:t>
      </w:r>
    </w:p>
    <w:p>
      <w:pPr>
        <w:jc w:val="center"/>
        <w:spacing w:before="720" w:after="0" w:line="240"/>
      </w:pPr>
      <w:r>
        <w:t>68th Legislature</w:t>
      </w:r>
    </w:p>
    <w:p>
      <w:pPr>
        <w:jc w:val="center"/>
        <w:spacing w:before="0" w:after="1440" w:line="240"/>
      </w:pPr>
      <w:r>
        <w:t>2023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28,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12,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1407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1407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2023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Taylor, Senn, Simmons, Stonier, Jacobsen, Bateman, Lekanoff, Peterson, Ramel, Macri, Pollet, Reed, and Doglio</w:t>
      </w:r>
    </w:p>
    <w:p/>
    <w:p>
      <w:r>
        <w:rPr>
          <w:t xml:space="preserve">Read first time 01/18/23.  </w:t>
        </w:rPr>
      </w:r>
      <w:r>
        <w:rPr>
          <w:t xml:space="preserve">Referred to Committee on Human Services, Youth, &amp; Early Learning.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maintaining eligibility for developmental disability services; and amending RCW 71A.16.040.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71A</w:t>
      </w:r>
      <w:r>
        <w:rPr/>
        <w:t xml:space="preserve">.</w:t>
      </w:r>
      <w:r>
        <w:t xml:space="preserve">16</w:t>
      </w:r>
      <w:r>
        <w:rPr/>
        <w:t xml:space="preserve">.</w:t>
      </w:r>
      <w:r>
        <w:t xml:space="preserve">040</w:t>
      </w:r>
      <w:r>
        <w:rPr/>
        <w:t xml:space="preserve"> and 1989 c 175 s 141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On receipt of an application for services submitted under RCW 71A.16.030, the secretary in a timely manner shall make a written determination as to whether the applicant is eligible for services provided under this title for persons with developmental disabilities.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secretary shall give notice of the secretary's determination on eligibility to the person who submitted the application and to the applicant, if the applicant is a person other than the person who submitted the application for services. The notice shall also include a statement advising the recipient of the right to an adjudicative proceeding under RCW 71A.10.050 and the right to judicial review of the secretary's final decision.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secretary may establish rules for redetermination of eligibility for services under this title</w:t>
      </w:r>
      <w:r>
        <w:rPr>
          <w:u w:val="single"/>
        </w:rPr>
        <w:t xml:space="preserve">; however, the rules may not terminate or require redetermination of eligibility for a child under the age of 18 based solely on the child's age if the child has been determined to be eligible for services on or after the child's third birthday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953ebefa3ac40a2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1407.PL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a40ab5ecd4b27" /><Relationship Type="http://schemas.openxmlformats.org/officeDocument/2006/relationships/footer" Target="/word/footer1.xml" Id="Rd953ebefa3ac40a2" /></Relationships>
</file>