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97135d306647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1453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82</w:t>
            </w:r>
            <w:r>
              <w:t xml:space="preserve">  Nays </w:t>
              <w:t xml:space="preserve">14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36</w:t>
            </w:r>
            <w:r>
              <w:t xml:space="preserve">  Nays </w:t>
              <w:t xml:space="preserve">13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1453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1453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Wylie, Chapman, and Kloba)</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exemption for medical cannabis patients; amending RCW 69.50.535;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2022 c 16 s 101 are each amended to read as follows:</w:t>
      </w:r>
    </w:p>
    <w:p>
      <w:pPr>
        <w:spacing w:before="0" w:after="0" w:line="408" w:lineRule="exact"/>
        <w:ind w:left="0" w:right="0" w:firstLine="576"/>
        <w:jc w:val="left"/>
      </w:pPr>
      <w:r>
        <w:rPr/>
        <w:t xml:space="preserve">(1)(a) There is levied and collected a cannabis excise tax equal to thirty-seven percent of the selling price on each retail sale in this state of cannabis concentrates, useable cannabis, and cannabis-infused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cannabis retail store and in any advertising that includes prices for all useable cannabis, cannabis concentrates, or cannabis-infused products.</w:t>
      </w:r>
    </w:p>
    <w:p>
      <w:pPr>
        <w:spacing w:before="0" w:after="0" w:line="408" w:lineRule="exact"/>
        <w:ind w:left="0" w:right="0" w:firstLine="576"/>
        <w:jc w:val="left"/>
      </w:pPr>
      <w:r>
        <w:rPr/>
        <w:t xml:space="preserve">(2)</w:t>
      </w:r>
      <w:r>
        <w:rPr>
          <w:u w:val="single"/>
        </w:rPr>
        <w:t xml:space="preserve">(a) Until June 30, 2029, the tax levied by subsection (1) of this section does not apply to sales by a cannabis retailer with a medical cannabis endorsement to qualifying patients or designated providers who have been issued a recognition card, of cannabis concentrates, useable cannabis, or cannabis-infused products, identified by the department as a compliant cannabis product in chapter 246-70 WAC and tested to the standards in WAC 246-70-040.</w:t>
      </w:r>
    </w:p>
    <w:p>
      <w:pPr>
        <w:spacing w:before="0" w:after="0" w:line="408" w:lineRule="exact"/>
        <w:ind w:left="0" w:right="0" w:firstLine="576"/>
        <w:jc w:val="left"/>
      </w:pPr>
      <w:r>
        <w:rPr>
          <w:u w:val="single"/>
        </w:rPr>
        <w:t xml:space="preserve">(b) Each seller making exempt sales under this subsection (2) must maintain information establishing eligibility for the exemption in the form and manner required by the board.</w:t>
      </w:r>
    </w:p>
    <w:p>
      <w:pPr>
        <w:spacing w:before="0" w:after="0" w:line="408" w:lineRule="exact"/>
        <w:ind w:left="0" w:right="0" w:firstLine="576"/>
        <w:jc w:val="left"/>
      </w:pPr>
      <w:r>
        <w:rPr>
          <w:u w:val="single"/>
        </w:rPr>
        <w:t xml:space="preserve">(c) The board must provide a separate tax reporting line on the excise tax form for exemption amounts claimed under this subsection (2).</w:t>
      </w:r>
    </w:p>
    <w:p>
      <w:pPr>
        <w:spacing w:before="0" w:after="0" w:line="408" w:lineRule="exact"/>
        <w:ind w:left="0" w:right="0" w:firstLine="576"/>
        <w:jc w:val="left"/>
      </w:pPr>
      <w:r>
        <w:rPr>
          <w:u w:val="single"/>
        </w:rPr>
        <w:t xml:space="preserve">(3)</w:t>
      </w:r>
      <w:r>
        <w:rPr/>
        <w:t xml:space="preserve"> All revenues collected from the cannabis excise tax imposed under this section must be deposited each day in the dedicated cannabis account.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"Board" means the state liquor and cannabis board.</w:t>
      </w:r>
    </w:p>
    <w:p>
      <w:pPr>
        <w:spacing w:before="0" w:after="0" w:line="408" w:lineRule="exact"/>
        <w:ind w:left="0" w:right="0" w:firstLine="576"/>
        <w:jc w:val="left"/>
      </w:pPr>
      <w:r>
        <w:rPr>
          <w:strike/>
        </w:rPr>
        <w:t xml:space="preserve">(b)</w:t>
      </w:r>
      <w:r>
        <w:t>))</w:t>
      </w:r>
      <w:r>
        <w:rPr/>
        <w:t xml:space="preserve"> "Retail sale" has the same meaning as in RCW 82.08.010.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"Product" means cannabis, cannabis concentrates, useable cannabis, and cannabis-infused products.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cannabis tax change;</w:t>
      </w:r>
    </w:p>
    <w:p>
      <w:pPr>
        <w:spacing w:before="0" w:after="0" w:line="408" w:lineRule="exact"/>
        <w:ind w:left="0" w:right="0" w:firstLine="576"/>
        <w:jc w:val="left"/>
      </w:pPr>
      <w:r>
        <w:rPr/>
        <w:t xml:space="preserve">(iii) The increase or decrease in the volume of legal cannabis sold prior to and after any cannabis tax change;</w:t>
      </w:r>
    </w:p>
    <w:p>
      <w:pPr>
        <w:spacing w:before="0" w:after="0" w:line="408" w:lineRule="exact"/>
        <w:ind w:left="0" w:right="0" w:firstLine="576"/>
        <w:jc w:val="left"/>
      </w:pPr>
      <w:r>
        <w:rPr/>
        <w:t xml:space="preserve">(iv) Increases or decreases in the number of licensed cannabis producers, processors, and retailers;</w:t>
      </w:r>
    </w:p>
    <w:p>
      <w:pPr>
        <w:spacing w:before="0" w:after="0" w:line="408" w:lineRule="exact"/>
        <w:ind w:left="0" w:right="0" w:firstLine="576"/>
        <w:jc w:val="left"/>
      </w:pPr>
      <w:r>
        <w:rPr/>
        <w:t xml:space="preserve">(v) The number of illegal and noncompliant cannabis outlets the board requires to be closed;</w:t>
      </w:r>
    </w:p>
    <w:p>
      <w:pPr>
        <w:spacing w:before="0" w:after="0" w:line="408" w:lineRule="exact"/>
        <w:ind w:left="0" w:right="0" w:firstLine="576"/>
        <w:jc w:val="left"/>
      </w:pPr>
      <w:r>
        <w:rPr/>
        <w:t xml:space="preserve">(vi) Gross cannabis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2024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ensure medical cannabis products are accessible and affordable for qualifying patients and designated providers.</w:t>
      </w:r>
    </w:p>
    <w:p>
      <w:pPr>
        <w:spacing w:before="0" w:after="0" w:line="408" w:lineRule="exact"/>
        <w:ind w:left="0" w:right="0" w:firstLine="576"/>
        <w:jc w:val="left"/>
      </w:pPr>
      <w:r>
        <w:rPr/>
        <w:t xml:space="preserve">(4) The joint legislative audit and review committee must include in its review of this tax preference an evaluation of:</w:t>
      </w:r>
    </w:p>
    <w:p>
      <w:pPr>
        <w:spacing w:before="0" w:after="0" w:line="408" w:lineRule="exact"/>
        <w:ind w:left="0" w:right="0" w:firstLine="576"/>
        <w:jc w:val="left"/>
      </w:pPr>
      <w:r>
        <w:rPr/>
        <w:t xml:space="preserve">(a) Any change in the number of qualifying patients or designated providers;</w:t>
      </w:r>
    </w:p>
    <w:p>
      <w:pPr>
        <w:spacing w:before="0" w:after="0" w:line="408" w:lineRule="exact"/>
        <w:ind w:left="0" w:right="0" w:firstLine="576"/>
        <w:jc w:val="left"/>
      </w:pPr>
      <w:r>
        <w:rPr/>
        <w:t xml:space="preserve">(b) Any change in the amount, types, or sales of tax-exempt products, as identified in section 1 of this act; and</w:t>
      </w:r>
    </w:p>
    <w:p>
      <w:pPr>
        <w:spacing w:before="0" w:after="0" w:line="408" w:lineRule="exact"/>
        <w:ind w:left="0" w:right="0" w:firstLine="576"/>
        <w:jc w:val="left"/>
      </w:pPr>
      <w:r>
        <w:rPr/>
        <w:t xml:space="preserve">(c) Any other information the joint legislative audit and review committee deems necessary to evaluate the tax preference in section 1 of this act.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any data collected by the department of health or the liquor and cannabis board or any other data collected by the state.</w:t>
      </w:r>
    </w:p>
    <w:p>
      <w:pPr>
        <w:spacing w:before="0" w:after="0" w:line="408" w:lineRule="exact"/>
        <w:ind w:left="0" w:right="0" w:firstLine="576"/>
        <w:jc w:val="left"/>
      </w:pPr>
      <w:r>
        <w:rPr/>
        <w:t xml:space="preserve">(6) The joint legislative audit and review committee must submit a report of its findings to the legislature by December 1, 2028.</w:t>
      </w:r>
    </w:p>
    <w:p/>
    <w:p>
      <w:pPr>
        <w:jc w:val="center"/>
      </w:pPr>
      <w:r>
        <w:rPr>
          <w:b/>
        </w:rPr>
        <w:t>--- END ---</w:t>
      </w:r>
    </w:p>
    <w:sectPr>
      <w:pgNumType w:start="1"/>
      <w:footerReference xmlns:r="http://schemas.openxmlformats.org/officeDocument/2006/relationships" r:id="R328c403114d243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0106361784a3f" /><Relationship Type="http://schemas.openxmlformats.org/officeDocument/2006/relationships/footer" Target="/word/footer1.xml" Id="R328c403114d243cf" /></Relationships>
</file>