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f696b2a3c49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1599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Goodman, Berry, Ramel, and Pollet; by request of Washington State Patrol</w:t>
      </w:r>
    </w:p>
    <w:p/>
    <w:p>
      <w:r>
        <w:rPr>
          <w:t xml:space="preserve">Read first time 01/26/23.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files and records exemptions for firearm background checks; and amending RCW 71.05.620.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2018 c 201 s 3028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The state hospitals as defined in RCW 72.23.010;</w:t>
      </w:r>
    </w:p>
    <w:p>
      <w:pPr>
        <w:spacing w:before="0" w:after="0" w:line="408" w:lineRule="exact"/>
        <w:ind w:left="0" w:right="0" w:firstLine="576"/>
        <w:jc w:val="left"/>
      </w:pPr>
      <w:r>
        <w:rPr/>
        <w:t xml:space="preserve">(e) Any person who is the subject of a petition;</w:t>
      </w:r>
    </w:p>
    <w:p>
      <w:pPr>
        <w:spacing w:before="0" w:after="0" w:line="408" w:lineRule="exact"/>
        <w:ind w:left="0" w:right="0" w:firstLine="576"/>
        <w:jc w:val="left"/>
      </w:pPr>
      <w:r>
        <w:rPr/>
        <w:t xml:space="preserve">(f) The attorney or guardian of the person;</w:t>
      </w:r>
    </w:p>
    <w:p>
      <w:pPr>
        <w:spacing w:before="0" w:after="0" w:line="408" w:lineRule="exact"/>
        <w:ind w:left="0" w:right="0" w:firstLine="576"/>
        <w:jc w:val="left"/>
      </w:pPr>
      <w:r>
        <w:rPr/>
        <w:t xml:space="preserve">(g) Resource management services for that person; </w:t>
      </w:r>
      <w:r>
        <w:t>((</w:t>
      </w:r>
      <w:r>
        <w:rPr>
          <w:strike/>
        </w:rPr>
        <w:t xml:space="preserve">and</w:t>
      </w:r>
      <w:r>
        <w:t>))</w:t>
      </w:r>
    </w:p>
    <w:p>
      <w:pPr>
        <w:spacing w:before="0" w:after="0" w:line="408" w:lineRule="exact"/>
        <w:ind w:left="0" w:right="0" w:firstLine="576"/>
        <w:jc w:val="left"/>
      </w:pPr>
      <w:r>
        <w:rPr/>
        <w:t xml:space="preserve">(h) Service providers authorized to receive such information by resource management services</w:t>
      </w:r>
      <w:r>
        <w:rPr>
          <w:u w:val="single"/>
        </w:rPr>
        <w:t xml:space="preserve">; and</w:t>
      </w:r>
    </w:p>
    <w:p>
      <w:pPr>
        <w:spacing w:before="0" w:after="0" w:line="408" w:lineRule="exact"/>
        <w:ind w:left="0" w:right="0" w:firstLine="576"/>
        <w:jc w:val="left"/>
      </w:pPr>
      <w:r>
        <w:rPr>
          <w:u w:val="single"/>
        </w:rPr>
        <w:t xml:space="preserve">(i) The Washington state patrol firearms background division to conduct background checks for processing and purchasing firearms, concealed pistol licenses, alien firearms licenses, firearm rights restoration petitions under chapter 9.41 RCW, and release of firearms from evidence, including appeals of denial</w:t>
      </w:r>
      <w:r>
        <w:rPr/>
        <w:t xml:space="preserve">.</w:t>
      </w:r>
    </w:p>
    <w:p>
      <w:pPr>
        <w:spacing w:before="0" w:after="0" w:line="408" w:lineRule="exact"/>
        <w:ind w:left="0" w:right="0" w:firstLine="576"/>
        <w:jc w:val="left"/>
      </w:pPr>
      <w:r>
        <w:rPr/>
        <w:t xml:space="preserve">(2) The authority shall adopt rules to implement this section.</w:t>
      </w:r>
    </w:p>
    <w:p/>
    <w:p>
      <w:pPr>
        <w:jc w:val="center"/>
      </w:pPr>
      <w:r>
        <w:rPr>
          <w:b/>
        </w:rPr>
        <w:t>--- END ---</w:t>
      </w:r>
    </w:p>
    <w:sectPr>
      <w:pgNumType w:start="1"/>
      <w:footerReference xmlns:r="http://schemas.openxmlformats.org/officeDocument/2006/relationships" r:id="R0b646f5bfb4344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c870b29384d5b" /><Relationship Type="http://schemas.openxmlformats.org/officeDocument/2006/relationships/footer" Target="/word/footer1.xml" Id="R0b646f5bfb434430" /></Relationships>
</file>