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723861c7634d1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1983</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8, 2024</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2024</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1983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1983</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Representatives Simmons, Goodman, Reed, and Davis</w:t>
      </w:r>
    </w:p>
    <w:p/>
    <w:p>
      <w:r>
        <w:rPr>
          <w:t xml:space="preserve">Prefiled 12/19/23.</w:t>
        </w:rPr>
      </w:r>
      <w:r>
        <w:rPr>
          <w:t xml:space="preserve">Read first time 01/08/24.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criminal justice treatment account; and amending RCW 71.24.580.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580</w:t>
      </w:r>
      <w:r>
        <w:rPr/>
        <w:t xml:space="preserve"> and 2023 c 475 s 941 are each amended to read as follows:</w:t>
      </w:r>
    </w:p>
    <w:p>
      <w:pPr>
        <w:spacing w:before="0" w:after="0" w:line="408" w:lineRule="exact"/>
        <w:ind w:left="0" w:right="0" w:firstLine="576"/>
        <w:jc w:val="left"/>
      </w:pPr>
      <w:r>
        <w:rPr/>
        <w:t xml:space="preserve">(1) The criminal justice treatment account is created in the state treasury. Moneys in the account may be expended solely for: (a) Substance use disorder treatment and treatment support services for offenders with a substance use disorder that, if not treated, would result in addiction, against whom charges are filed by a prosecuting attorney in Washington state; (b) the provision of substance use disorder treatment services and treatment support services for nonviolent offenders within a drug court program and</w:t>
      </w:r>
      <w:r>
        <w:t>((</w:t>
      </w:r>
      <w:r>
        <w:rPr>
          <w:strike/>
        </w:rPr>
        <w:t xml:space="preserve">, during the 2021-2023 and 2023-2025 fiscal biennia,</w:t>
      </w:r>
      <w:r>
        <w:t>))</w:t>
      </w:r>
      <w:r>
        <w:rPr/>
        <w:t xml:space="preserve"> for 180 days following graduation from the drug court program; and (c) the administrative and overhead costs associated with the operation of a drug court. Amounts provided in this subsection must be used for treatment and recovery support services for criminally involved offenders and authorization of these services shall not be subject to determinations of medical necessity. </w:t>
      </w:r>
      <w:r>
        <w:t>((</w:t>
      </w:r>
      <w:r>
        <w:rPr>
          <w:strike/>
        </w:rPr>
        <w:t xml:space="preserve">During the 2019-2021 and 2021-2023 fiscal biennia, funding from the criminal justice treatment account may be used to provide treatment and support services through the conclusion of an individual's treatment plan to individuals participating in a drug court program as of February 24, 2021, if that individual wishes to continue treatment following dismissal of charges they were facing under RCW 69.50.4013(1). Such participation is voluntary and contingent upon substantial compliance with drug court program requirements. The legislature may appropriate from the account for municipal drug courts and increased treatment options. During the 2019-2021 fiscal biennium, the legislature may direct the state treasurer to make transfers of moneys in the criminal justice treatment account to the home security fund account created in RCW 43.185C.060.</w:t>
      </w:r>
      <w:r>
        <w:t>))</w:t>
      </w:r>
      <w:r>
        <w:rPr/>
        <w:t xml:space="preserve"> Moneys in the account may be spent only after appropriation.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"Treatment" means services that are critical to a participant's successful completion of his or her substance use disorder treatment program, including but not limited to the recovery support and other programmatic elements outlined in RCW 2.30.030 authorizing therapeutic courts; and</w:t>
      </w:r>
    </w:p>
    <w:p>
      <w:pPr>
        <w:spacing w:before="0" w:after="0" w:line="408" w:lineRule="exact"/>
        <w:ind w:left="0" w:right="0" w:firstLine="576"/>
        <w:jc w:val="left"/>
      </w:pPr>
      <w:r>
        <w:rPr/>
        <w:t xml:space="preserve">(b) "Treatment support" includes transportation to or from inpatient or outpatient treatment services when no viable alternative exists, and child care services that are necessary to ensure a participant's ability to attend outpatient treatment sessions.</w:t>
      </w:r>
    </w:p>
    <w:p>
      <w:pPr>
        <w:spacing w:before="0" w:after="0" w:line="408" w:lineRule="exact"/>
        <w:ind w:left="0" w:right="0" w:firstLine="576"/>
        <w:jc w:val="left"/>
      </w:pPr>
      <w:r>
        <w:rPr/>
        <w:t xml:space="preserve">(3) Revenues to the criminal justice treatment account consist of: (a) Funds transferred to the account pursuant to this section; and (b) any other revenues appropriated to or deposited in the account.</w:t>
      </w:r>
    </w:p>
    <w:p>
      <w:pPr>
        <w:spacing w:before="0" w:after="0" w:line="408" w:lineRule="exact"/>
        <w:ind w:left="0" w:right="0" w:firstLine="576"/>
        <w:jc w:val="left"/>
      </w:pPr>
      <w:r>
        <w:rPr/>
        <w:t xml:space="preserve">(4)(a) For the fiscal year beginning July 1, 2005, and each subsequent fiscal year, the state treasurer shall transfer eight million two hundred fifty thousand dollars from the general fund to the criminal justice treatment account, divided into four equal quarterly payments. For the fiscal year beginning July 1, 2006, and each subsequent fiscal year, the amount transferred shall be increased on an annual basis by the implicit price deflator as published by the federal bureau of labor statistics.</w:t>
      </w:r>
    </w:p>
    <w:p>
      <w:pPr>
        <w:spacing w:before="0" w:after="0" w:line="408" w:lineRule="exact"/>
        <w:ind w:left="0" w:right="0" w:firstLine="576"/>
        <w:jc w:val="left"/>
      </w:pPr>
      <w:r>
        <w:rPr/>
        <w:t xml:space="preserve">(b) In each odd-numbered year, the legislature shall appropriate the amount transferred to the criminal justice treatment account in (a) of this subsection to the department for the purposes of subsection (5) of this section.</w:t>
      </w:r>
    </w:p>
    <w:p>
      <w:pPr>
        <w:spacing w:before="0" w:after="0" w:line="408" w:lineRule="exact"/>
        <w:ind w:left="0" w:right="0" w:firstLine="576"/>
        <w:jc w:val="left"/>
      </w:pPr>
      <w:r>
        <w:rPr/>
        <w:t xml:space="preserve">(5) Moneys appropriated to the authority from the criminal justice treatment account shall be distributed as specified in this subsection. The authority may retain up to three percent of the amount appropriated under subsection (4)(b) of this section for its administrative costs.</w:t>
      </w:r>
    </w:p>
    <w:p>
      <w:pPr>
        <w:spacing w:before="0" w:after="0" w:line="408" w:lineRule="exact"/>
        <w:ind w:left="0" w:right="0" w:firstLine="576"/>
        <w:jc w:val="left"/>
      </w:pPr>
      <w:r>
        <w:rPr/>
        <w:t xml:space="preserve">(a) Seventy percent of amounts appropriated to the authority from the account shall be distributed to counties pursuant to the distribution formula adopted under this section. The authority,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use disorder treatment providers, and any other person deemed by the authority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spacing w:before="0" w:after="0" w:line="408" w:lineRule="exact"/>
        <w:ind w:left="0" w:right="0" w:firstLine="576"/>
        <w:jc w:val="left"/>
      </w:pPr>
      <w:r>
        <w:rPr/>
        <w:t xml:space="preserve">(b) Thirty percent of the amounts appropriated to the authority from the account shall be distributed as grants for purposes of treating offenders against whom charges are filed by a county prosecuting attorney. The authority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and substance use disorder treatment providers. The panel shall review county or regional plans for funding under (a) of this subsection and grants approved under this subsection. The panel shall attempt to ensure that treatment as funded by the grants is available to offenders statewide.</w:t>
      </w:r>
    </w:p>
    <w:p>
      <w:pPr>
        <w:spacing w:before="0" w:after="0" w:line="408" w:lineRule="exact"/>
        <w:ind w:left="0" w:right="0" w:firstLine="576"/>
        <w:jc w:val="left"/>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The submitted plan should incorporate current evidence-based practices in substance use disorder treatment. The funds shall be used solely to provide approved alcohol and substance use disorder treatment pursuant to RCW 71.24.560 and treatment support services. No more than ten percent of the total moneys received under subsections (4) and (5) of this section by a county or group of counties participating in a regional agreement shall be spent for treatment support services.</w:t>
      </w:r>
    </w:p>
    <w:p>
      <w:pPr>
        <w:spacing w:before="0" w:after="0" w:line="408" w:lineRule="exact"/>
        <w:ind w:left="0" w:right="0" w:firstLine="576"/>
        <w:jc w:val="left"/>
      </w:pPr>
      <w:r>
        <w:rPr/>
        <w:t xml:space="preserve">(7) Counties are encouraged to consider regional agreements and submit regional plans for the efficient delivery of treatment under this section.</w:t>
      </w:r>
    </w:p>
    <w:p>
      <w:pPr>
        <w:spacing w:before="0" w:after="0" w:line="408" w:lineRule="exact"/>
        <w:ind w:left="0" w:right="0" w:firstLine="576"/>
        <w:jc w:val="left"/>
      </w:pPr>
      <w:r>
        <w:rPr/>
        <w:t xml:space="preserve">(8) Moneys allocated under this section shall be used to supplement, not supplant, other federal, state, and local funds used for substance abuse treatment.</w:t>
      </w:r>
    </w:p>
    <w:p>
      <w:pPr>
        <w:spacing w:before="0" w:after="0" w:line="408" w:lineRule="exact"/>
        <w:ind w:left="0" w:right="0" w:firstLine="576"/>
        <w:jc w:val="left"/>
      </w:pPr>
      <w:r>
        <w:rPr/>
        <w:t xml:space="preserve">(9) If a region or county uses criminal justice treatment account funds to support a therapeutic court, the therapeutic court must allow the use of all medications approved by the federal food and drug administration for the treatment of opioid use disorder as deemed medically appropriate for a participant by a medical professional. If appropriate medication-assisted treatment resources are not available or accessible within the jurisdiction, the health care authority's designee for assistance must assist the court with acquiring the resource.</w:t>
      </w:r>
    </w:p>
    <w:p>
      <w:pPr>
        <w:spacing w:before="0" w:after="0" w:line="408" w:lineRule="exact"/>
        <w:ind w:left="0" w:right="0" w:firstLine="576"/>
        <w:jc w:val="left"/>
      </w:pPr>
      <w:r>
        <w:rPr/>
        <w:t xml:space="preserve">(10) Counties must meet the criteria established in RCW 2.30.030(3).</w:t>
      </w:r>
    </w:p>
    <w:p>
      <w:pPr>
        <w:spacing w:before="0" w:after="0" w:line="408" w:lineRule="exact"/>
        <w:ind w:left="0" w:right="0" w:firstLine="576"/>
        <w:jc w:val="left"/>
      </w:pPr>
      <w:r>
        <w:rPr/>
        <w:t xml:space="preserve">(11) The authority shall annually review and monitor the expenditures made by any county or group of counties that receives appropriated funds distributed under this section. Counties shall repay any funds that are not spent in accordance with the requirements of its contract with the authority.</w:t>
      </w:r>
    </w:p>
    <w:p/>
    <w:p>
      <w:pPr>
        <w:jc w:val="center"/>
      </w:pPr>
      <w:r>
        <w:rPr>
          <w:b/>
        </w:rPr>
        <w:t>--- END ---</w:t>
      </w:r>
    </w:p>
    <w:sectPr>
      <w:pgNumType w:start="1"/>
      <w:footerReference xmlns:r="http://schemas.openxmlformats.org/officeDocument/2006/relationships" r:id="R9e37e3c380604a7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1983.PL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b260cbb9de4cc5" /><Relationship Type="http://schemas.openxmlformats.org/officeDocument/2006/relationships/footer" Target="/word/footer1.xml" Id="R9e37e3c380604a7d" /></Relationships>
</file>