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9417e0400c48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2115</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61</w:t>
            </w:r>
            <w:r>
              <w:t xml:space="preserve">  Nays </w:t>
              <w:t xml:space="preserve">36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23, 2024</w:t>
            </w:r>
          </w:p>
          <w:p>
            <w:pPr>
              <w:ind w:left="0" w:right="0" w:firstLine="360"/>
            </w:pPr>
            <w:r>
              <w:t xml:space="preserve">Yeas </w:t>
              <w:t xml:space="preserve">33</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2115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2115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Thai, Slatter, Senn, Chapman, Reed, Ramel, Macri, Gregerson, Doglio, Fosse, Riccelli, Wylie, and Reeves)</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labels for medications used for abortion; and amending RCW 69.41.050.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050</w:t>
      </w:r>
      <w:r>
        <w:rPr/>
        <w:t xml:space="preserve"> and 2003 c 53 s 325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pPr>
        <w:spacing w:before="0" w:after="0" w:line="408" w:lineRule="exact"/>
        <w:ind w:left="0" w:right="0" w:firstLine="576"/>
        <w:jc w:val="left"/>
      </w:pPr>
      <w:r>
        <w:rPr/>
        <w:t xml:space="preserve">(2)</w:t>
      </w:r>
      <w:r>
        <w:rPr>
          <w:u w:val="single"/>
        </w:rPr>
        <w:t xml:space="preserve">(a) Notwithstanding subsection (1) of this section, at a prescriber's request, the prescription label for abortion medications may include the prescribing and dispensing health care facility name instead of the name of the practitioner.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violation of this section is a misdemeanor.</w:t>
      </w:r>
    </w:p>
    <w:p/>
    <w:p>
      <w:pPr>
        <w:jc w:val="center"/>
      </w:pPr>
      <w:r>
        <w:rPr>
          <w:b/>
        </w:rPr>
        <w:t>--- END ---</w:t>
      </w:r>
    </w:p>
    <w:sectPr>
      <w:pgNumType w:start="1"/>
      <w:footerReference xmlns:r="http://schemas.openxmlformats.org/officeDocument/2006/relationships" r:id="R6db91e730b8a4a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b647c6384844d5" /><Relationship Type="http://schemas.openxmlformats.org/officeDocument/2006/relationships/footer" Target="/word/footer1.xml" Id="R6db91e730b8a4a0b" /></Relationships>
</file>