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cb0651a79843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2180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2180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Callan, Bergquist, Reed, Ormsby, Ramel, Stonier, Paul, Alvarado, Farivar, Fosse, and Reeves; by request of Office of Financial Management)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special education enrollment funding cap; amending RCW 28A.150.390;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2023 c 417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1.2;</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(B) Beginning in the 2023-24 school year, either:</w:t>
      </w:r>
    </w:p>
    <w:p>
      <w:pPr>
        <w:spacing w:before="0" w:after="0" w:line="408" w:lineRule="exact"/>
        <w:ind w:left="0" w:right="0" w:firstLine="576"/>
        <w:jc w:val="left"/>
      </w:pPr>
      <w:r>
        <w:rPr/>
        <w:t xml:space="preserve">(I) 1.12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1.06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(ii) If the enrollment percent exceeds </w:t>
      </w:r>
      <w:r>
        <w:t>((</w:t>
      </w:r>
      <w:r>
        <w:rPr>
          <w:strike/>
        </w:rPr>
        <w:t xml:space="preserve">15</w:t>
      </w:r>
      <w:r>
        <w:t>))</w:t>
      </w:r>
      <w:r>
        <w:rPr/>
        <w:t xml:space="preserve"> </w:t>
      </w:r>
      <w:r>
        <w:rPr>
          <w:u w:val="single"/>
        </w:rPr>
        <w:t xml:space="preserve">16</w:t>
      </w:r>
      <w:r>
        <w:rPr/>
        <w:t xml:space="preserve"> percent, the excess cost allocation calculated under (b)(i) of this subsection must be adjusted by multiplying the allocation by </w:t>
      </w:r>
      <w:r>
        <w:t>((</w:t>
      </w:r>
      <w:r>
        <w:rPr>
          <w:strike/>
        </w:rPr>
        <w:t xml:space="preserve">15</w:t>
      </w:r>
      <w:r>
        <w:t>))</w:t>
      </w:r>
      <w:r>
        <w:rPr/>
        <w:t xml:space="preserve"> </w:t>
      </w:r>
      <w:r>
        <w:rPr>
          <w:u w:val="single"/>
        </w:rPr>
        <w:t xml:space="preserve">16</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auditor, in consultation with the office of the superintendent of public instruction, shall conduct a review of the prevalence of disabilities and whether the provisions and funding for evaluating students and providing services reflects the prevalence of disabilities, including whether any populations are disparately underevaluated or underserved. The state auditor must report findings and recommendations to the governor and the committees of the legislature with jurisdiction over fiscal matters and special education by November 30, 2025.</w:t>
      </w:r>
    </w:p>
    <w:p>
      <w:pPr>
        <w:spacing w:before="0" w:after="0" w:line="408" w:lineRule="exact"/>
        <w:ind w:left="0" w:right="0" w:firstLine="576"/>
        <w:jc w:val="left"/>
      </w:pPr>
      <w:r>
        <w:rPr/>
        <w:t xml:space="preserve">This section expires March 30, 2026.</w:t>
      </w:r>
    </w:p>
    <w:p/>
    <w:p>
      <w:pPr>
        <w:jc w:val="center"/>
      </w:pPr>
      <w:r>
        <w:rPr>
          <w:b/>
        </w:rPr>
        <w:t>--- END ---</w:t>
      </w:r>
    </w:p>
    <w:sectPr>
      <w:pgNumType w:start="1"/>
      <w:footerReference xmlns:r="http://schemas.openxmlformats.org/officeDocument/2006/relationships" r:id="R4fb5f2a5633044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70c881a5744899" /><Relationship Type="http://schemas.openxmlformats.org/officeDocument/2006/relationships/footer" Target="/word/footer1.xml" Id="R4fb5f2a5633044b6" /></Relationships>
</file>