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769e8ec44d4c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2454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2454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2454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Ybarra and Chapman</w:t>
      </w:r>
    </w:p>
    <w:p/>
    <w:p>
      <w:r>
        <w:rPr>
          <w:t xml:space="preserve">Read first time 01/23/24.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an existing hazardous substance tax exemption for certain agricultural crop protection products that are  temporarily warehoused but not otherwise used, manufactured, packaged, or sold in the state of Washington; amending RCW 82.21.040; and amending 2015 3rd sp.s. c 6 s 1901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2015 3rd sp.s. c 6 s 1902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shall constitute a debt owed by the first person having taxable possession to the person who paid the tax.</w:t>
      </w:r>
    </w:p>
    <w:p>
      <w:pPr>
        <w:spacing w:before="0" w:after="0" w:line="408" w:lineRule="exact"/>
        <w:ind w:left="0" w:right="0" w:firstLine="576"/>
        <w:jc w:val="left"/>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p>
    <w:p>
      <w:pPr>
        <w:spacing w:before="0" w:after="0" w:line="408" w:lineRule="exact"/>
        <w:ind w:left="0" w:right="0" w:firstLine="576"/>
        <w:jc w:val="left"/>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p>
    <w:p>
      <w:pPr>
        <w:spacing w:before="0" w:after="0" w:line="408" w:lineRule="exact"/>
        <w:ind w:left="0" w:right="0" w:firstLine="576"/>
        <w:jc w:val="left"/>
      </w:pPr>
      <w:r>
        <w:rPr/>
        <w:t xml:space="preserve">(4) Any possession of alumina or natural gas.</w:t>
      </w:r>
    </w:p>
    <w:p>
      <w:pPr>
        <w:spacing w:before="0" w:after="0" w:line="408" w:lineRule="exact"/>
        <w:ind w:left="0" w:right="0" w:firstLine="576"/>
        <w:jc w:val="left"/>
      </w:pPr>
      <w:r>
        <w:rPr/>
        <w:t xml:space="preserve">(5)(a) </w:t>
      </w:r>
      <w:r>
        <w:t>((</w:t>
      </w:r>
      <w:r>
        <w:rPr>
          <w:strike/>
        </w:rPr>
        <w:t xml:space="preserve">Any</w:t>
      </w:r>
      <w:r>
        <w:t>))</w:t>
      </w:r>
      <w:r>
        <w:rPr/>
        <w:t xml:space="preserve"> </w:t>
      </w:r>
      <w:r>
        <w:rPr>
          <w:u w:val="single"/>
        </w:rPr>
        <w:t xml:space="preserve">Until January 1, 2028, any</w:t>
      </w:r>
      <w:r>
        <w:rPr/>
        <w:t xml:space="preserve">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spacing w:before="0" w:after="0" w:line="408" w:lineRule="exact"/>
        <w:ind w:left="0" w:right="0" w:firstLine="576"/>
        <w:jc w:val="left"/>
      </w:pPr>
      <w:r>
        <w:rPr/>
        <w:t xml:space="preserve">(b) The definitions in this subsection apply throughout this section unless the context clearly requires otherwise.</w:t>
      </w:r>
    </w:p>
    <w:p>
      <w:pPr>
        <w:spacing w:before="0" w:after="0" w:line="408" w:lineRule="exact"/>
        <w:ind w:left="0" w:right="0" w:firstLine="576"/>
        <w:jc w:val="left"/>
      </w:pPr>
      <w:r>
        <w:rPr/>
        <w:t xml:space="preserve">(i) "Agricultural crop protection product" means a chemical regulated under the federal insecticide, fungicide, and rodenticide act, 7 U.S.C. Sec. 136 as amended as of September 1, 2015, when used to prevent, destroy, repel, mitigate, or control predators, diseases, weeds, or other pests.</w:t>
      </w:r>
    </w:p>
    <w:p>
      <w:pPr>
        <w:spacing w:before="0" w:after="0" w:line="408" w:lineRule="exact"/>
        <w:ind w:left="0" w:right="0" w:firstLine="576"/>
        <w:jc w:val="left"/>
      </w:pPr>
      <w:r>
        <w:rPr/>
        <w:t xml:space="preserve">(ii) "Certified applicator" has the same meaning as provided in RCW 17.21.020.</w:t>
      </w:r>
    </w:p>
    <w:p>
      <w:pPr>
        <w:spacing w:before="0" w:after="0" w:line="408" w:lineRule="exact"/>
        <w:ind w:left="0" w:right="0" w:firstLine="576"/>
        <w:jc w:val="left"/>
      </w:pPr>
      <w:r>
        <w:rPr/>
        <w:t xml:space="preserve">(iii) "Farmer" has the same meaning as in RCW 82.04.213.</w:t>
      </w:r>
    </w:p>
    <w:p>
      <w:pPr>
        <w:spacing w:before="0" w:after="0" w:line="408" w:lineRule="exact"/>
        <w:ind w:left="0" w:right="0" w:firstLine="576"/>
        <w:jc w:val="left"/>
      </w:pPr>
      <w:r>
        <w:rPr/>
        <w:t xml:space="preserve">(iv) "Manufacturing" includes mixing or combining agricultural crop protection products with other chemicals or other agricultural crop protection products.</w:t>
      </w:r>
    </w:p>
    <w:p>
      <w:pPr>
        <w:spacing w:before="0" w:after="0" w:line="408" w:lineRule="exact"/>
        <w:ind w:left="0" w:right="0" w:firstLine="576"/>
        <w:jc w:val="left"/>
      </w:pPr>
      <w:r>
        <w:rPr/>
        <w:t xml:space="preserve">(v) "Package for sale" includes transferring agricultural crop protection products from one container to another, including the transfer of fumigants and other liquid or gaseous chemicals from one tank to another.</w:t>
      </w:r>
    </w:p>
    <w:p>
      <w:pPr>
        <w:spacing w:before="0" w:after="0" w:line="408" w:lineRule="exact"/>
        <w:ind w:left="0" w:right="0" w:firstLine="576"/>
        <w:jc w:val="left"/>
      </w:pPr>
      <w:r>
        <w:rPr/>
        <w:t xml:space="preserve">(vi) "Use" has the same meaning as in RCW 82.12.010.</w:t>
      </w:r>
    </w:p>
    <w:p>
      <w:pPr>
        <w:spacing w:before="0" w:after="0" w:line="408" w:lineRule="exact"/>
        <w:ind w:left="0" w:right="0" w:firstLine="576"/>
        <w:jc w:val="left"/>
      </w:pPr>
      <w:r>
        <w:rPr/>
        <w:t xml:space="preserve">(6) Persons or activities which the state is prohibited from taxing under the United States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6 s 1901</w:t>
      </w:r>
      <w:r>
        <w:rPr/>
        <w:t xml:space="preserve"> (uncodified) is amended to read as follows:</w:t>
      </w:r>
    </w:p>
    <w:p>
      <w:pPr>
        <w:spacing w:before="0" w:after="0" w:line="408" w:lineRule="exact"/>
        <w:ind w:left="0" w:right="0" w:firstLine="576"/>
        <w:jc w:val="left"/>
      </w:pPr>
      <w:r>
        <w:rPr/>
        <w:t xml:space="preserve">(1) The legislature categorizes the tax preference in section 1902 </w:t>
      </w:r>
      <w:r>
        <w:t>((</w:t>
      </w:r>
      <w:r>
        <w:rPr>
          <w:strike/>
        </w:rPr>
        <w:t xml:space="preserve">of this act</w:t>
      </w:r>
      <w:r>
        <w:t>))</w:t>
      </w:r>
      <w:r>
        <w:rPr>
          <w:u w:val="single"/>
        </w:rPr>
        <w:t xml:space="preserve">, chapter 6, Laws of 2015 3rd sp.s. and section 1, chapter . . ., Laws of 2024 (section 1 of this act)</w:t>
      </w:r>
      <w:r>
        <w:rPr/>
        <w:t xml:space="preserve"> as one intended to improve industry competitiveness, as indicated in RCW 82.32.808(2)(b).</w:t>
      </w:r>
    </w:p>
    <w:p>
      <w:pPr>
        <w:spacing w:before="0" w:after="0" w:line="408" w:lineRule="exact"/>
        <w:ind w:left="0" w:right="0" w:firstLine="576"/>
        <w:jc w:val="left"/>
      </w:pPr>
      <w:r>
        <w:rPr/>
        <w:t xml:space="preserve">(2) The legislature's specific public policy objective is to clarify an existing exemption from the hazardous substance tax for agricultural crop protection products to incentivize storing products in Washington state as they are engaged in interstate commerce. The legislature finds that the agricultural industry is a vital component of Washington's economy, providing thousands of jobs throughout the state. The legislature further finds that Washington state is the ideal location for distribution centers for agricultural crop protection products because Washington is an efficient transportation hub for Pacific Northwest farmers, and encourages crop protection products to be managed in the most protective facilities, and transported using the most sound environmental means. However, products being warehoused in the state are diminishing because agricultural crop protection products are being redirected to out-of-state distribution centers as a direct result of Washington's tax burden. Relocation of this economic activity is detrimental to Washington's economy through the direct loss of jobs and hazardous substance tax revenue, thereby negatively impacting the supply chain for Washington farmers, thereby causing increased transportation usage and risk of spillage, thereby failing to encourage the most environmentally protective measures. Therefore, it is the intent of the legislature to encourage the regional competitiveness of agricultural distribution by clarifying an exemption from the hazardous substance tax for agricultural crop protection products that are manufactured out-of-state, warehoused or transported into the state, but ultimately shipped and sold out of Washington state.</w:t>
      </w:r>
    </w:p>
    <w:p>
      <w:pPr>
        <w:spacing w:before="0" w:after="0" w:line="408" w:lineRule="exact"/>
        <w:ind w:left="0" w:right="0" w:firstLine="576"/>
        <w:jc w:val="left"/>
      </w:pPr>
      <w:r>
        <w:rPr/>
        <w:t xml:space="preserve">(3) If a review finds an average increase in revenue of the hazardous substance tax,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w:t>
      </w:r>
    </w:p>
    <w:p/>
    <w:p>
      <w:pPr>
        <w:jc w:val="center"/>
      </w:pPr>
      <w:r>
        <w:rPr>
          <w:b/>
        </w:rPr>
        <w:t>--- END ---</w:t>
      </w:r>
    </w:p>
    <w:sectPr>
      <w:pgNumType w:start="1"/>
      <w:footerReference xmlns:r="http://schemas.openxmlformats.org/officeDocument/2006/relationships" r:id="R98f5d82784b948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33477884e14da8" /><Relationship Type="http://schemas.openxmlformats.org/officeDocument/2006/relationships/footer" Target="/word/footer1.xml" Id="R98f5d82784b9484d" /></Relationships>
</file>