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0d0509a38423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2023</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23, 2023</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Fitzgibbon and Kretz</w:t>
      </w:r>
    </w:p>
    <w:p/>
    <w:p>
      <w:r>
        <w:rPr>
          <w:t xml:space="preserve">Read first time 04/23/23.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2023 Regular Session of the Sixty-eighth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2023 Regular Session of the Sixty-eighth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Sixty-eighth Legislature shall be numbered as a continuation of the numbers assigned to measures of the 2023 Regular Session of the Sixty-eighth Legislature.</w:t>
      </w:r>
    </w:p>
    <w:sectPr>
      <w:pgNumType w:start="1"/>
      <w:footerReference xmlns:r="http://schemas.openxmlformats.org/officeDocument/2006/relationships" r:id="R406d849fc3dc4e9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5903aac0114e76" /><Relationship Type="http://schemas.openxmlformats.org/officeDocument/2006/relationships/footer" Target="/word/footer1.xml" Id="R406d849fc3dc4e9d" /></Relationships>
</file>