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568117aab94add" /></Relationships>
</file>

<file path=word/document.xml><?xml version="1.0" encoding="utf-8"?>
<w:document xmlns:w="http://schemas.openxmlformats.org/wordprocessingml/2006/main">
  <w:body>
    <w:p>
      <w:r>
        <w:t>S-0667.3</w:t>
      </w:r>
    </w:p>
    <w:p>
      <w:pPr>
        <w:jc w:val="center"/>
      </w:pPr>
      <w:r>
        <w:t>_______________________________________________</w:t>
      </w:r>
    </w:p>
    <w:p/>
    <w:p>
      <w:pPr>
        <w:jc w:val="center"/>
      </w:pPr>
      <w:r>
        <w:rPr>
          <w:b/>
        </w:rPr>
        <w:t>SUBSTITUTE SENATE BILL 5002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Lovick, Liias, Dhingra, Kuderer, McCune, Nguyen, Rolfes, Shewmake, Valdez, C. Wilson, J. Wilson, and L. Wilson)</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concentration; amending RCW 46.61.502, 46.61.504, 46.61.5055, 46.61.506, 46.20.308, and 46.20.3101;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2021 was the deadliest year on Washington roads since 2006. Washington state saw 540 fatal crashes resulting in the death of more than 600 people. Half of all serious and fatal crashes are caused by driver impairment from drugs and alcohol, and the state saw a 31.3 percent increase in crashes as the result of an impaired driver between 2020 and 2021. This alarming upward trend must be addressed if Washington state is going to meet its goal of target zero. The increase in Washingtonians choosing to drive while impaired points to a need to adjust Washington's impaired driving laws. Utah lowered the blood alcohol concentration limit for operating a motor vehicle from .08 to .05 in 2019 and found that its fatal crash rate dropped by 19.89 percent, and its fatality rate decreased by 18.3 percent. Additionally, 22 percent of people who drank alcohol said they changed their behavior as a result of the new law. The legislature further finds that this is a well calibrated policy based on evidence that shows if all states implemented a .05 blood alcohol concentration level, 538 to 1,790 lives would be saved each year, and alcohol-related fatalities would decrease by 11.1 percent overall. Given the increase in traffic fatalities from impaired driving, the legislature declares that it is time to keep Washington's roads safer and lower the number of fatal crashes caused by impaired drivers by lowering the blood alcohol limit to .05.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.045 to .055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2022 c 16 s 38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w:t>
      </w:r>
      <w:r>
        <w:t>((</w:t>
      </w:r>
      <w:r>
        <w:rPr>
          <w:strike/>
        </w:rPr>
        <w:t xml:space="preserve">twenty-one</w:t>
      </w:r>
      <w:r>
        <w:t>))</w:t>
      </w:r>
      <w:r>
        <w:rPr/>
        <w:t xml:space="preserve"> </w:t>
      </w:r>
      <w:r>
        <w:rPr>
          <w:u w:val="single"/>
        </w:rPr>
        <w:t xml:space="preserve">21</w:t>
      </w:r>
      <w:r>
        <w:rPr/>
        <w:t xml:space="preserv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w:t>
      </w:r>
      <w:r>
        <w:t>((</w:t>
      </w:r>
      <w:r>
        <w:rPr>
          <w:strike/>
        </w:rPr>
        <w:t xml:space="preserve">ninety</w:t>
      </w:r>
      <w:r>
        <w:t>))</w:t>
      </w:r>
      <w:r>
        <w:rPr/>
        <w:t xml:space="preserve"> </w:t>
      </w:r>
      <w:r>
        <w:rPr>
          <w:u w:val="single"/>
        </w:rPr>
        <w:t xml:space="preserve">90</w:t>
      </w:r>
      <w:r>
        <w:rPr/>
        <w:t xml:space="preserve"> days if:</w:t>
      </w:r>
    </w:p>
    <w:p>
      <w:pPr>
        <w:spacing w:before="0" w:after="0" w:line="408" w:lineRule="exact"/>
        <w:ind w:left="0" w:right="0" w:firstLine="576"/>
        <w:jc w:val="left"/>
      </w:pPr>
      <w:r>
        <w:rPr/>
        <w:t xml:space="preserve">(i) The driver is age </w:t>
      </w:r>
      <w:r>
        <w:t>((</w:t>
      </w:r>
      <w:r>
        <w:rPr>
          <w:strike/>
        </w:rPr>
        <w:t xml:space="preserve">twenty-one</w:t>
      </w:r>
      <w:r>
        <w:t>))</w:t>
      </w:r>
      <w:r>
        <w:rPr/>
        <w:t xml:space="preserve"> </w:t>
      </w:r>
      <w:r>
        <w:rPr>
          <w:u w:val="single"/>
        </w:rPr>
        <w:t xml:space="preserve">21</w:t>
      </w:r>
      <w:r>
        <w:rPr/>
        <w:t xml:space="preserv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w:t>
      </w:r>
      <w:r>
        <w:t>((</w:t>
      </w:r>
      <w:r>
        <w:rPr>
          <w:strike/>
        </w:rPr>
        <w:t xml:space="preserve">twenty-one</w:t>
      </w:r>
      <w:r>
        <w:t>))</w:t>
      </w:r>
      <w:r>
        <w:rPr/>
        <w:t xml:space="preserve"> </w:t>
      </w:r>
      <w:r>
        <w:rPr>
          <w:u w:val="single"/>
        </w:rPr>
        <w:t xml:space="preserve">21</w:t>
      </w:r>
      <w:r>
        <w:rPr/>
        <w:t xml:space="preserve"> and the test indicates either that the alcohol concentration of the driver's breath is 0.02 or more; or</w:t>
      </w:r>
    </w:p>
    <w:p>
      <w:pPr>
        <w:spacing w:before="0" w:after="0" w:line="408" w:lineRule="exact"/>
        <w:ind w:left="0" w:right="0" w:firstLine="576"/>
        <w:jc w:val="left"/>
      </w:pPr>
      <w:r>
        <w:rPr/>
        <w:t xml:space="preserve">(iii) The driver is under age </w:t>
      </w:r>
      <w:r>
        <w:t>((</w:t>
      </w:r>
      <w:r>
        <w:rPr>
          <w:strike/>
        </w:rPr>
        <w:t xml:space="preserve">twenty-one</w:t>
      </w:r>
      <w:r>
        <w:t>))</w:t>
      </w:r>
      <w:r>
        <w:rPr/>
        <w:t xml:space="preserve"> </w:t>
      </w:r>
      <w:r>
        <w:rPr>
          <w:u w:val="single"/>
        </w:rPr>
        <w:t xml:space="preserve">21</w:t>
      </w:r>
      <w:r>
        <w:rPr/>
        <w:t xml:space="preserv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cannabis, or any drug, pursuant to a search warrant, a valid waiver of the warrant requirement, when exigent circumstances exist, or under any other authority of law. Any blood drawn for the purpose of determining the person's alcohol, cannabis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is 0.02 or more, or the THC concentration of the person's blood is above 0.00, if the person is under the age of </w:t>
      </w:r>
      <w:r>
        <w:t>((</w:t>
      </w:r>
      <w:r>
        <w:rPr>
          <w:strike/>
        </w:rPr>
        <w:t xml:space="preserve">twenty-one</w:t>
      </w:r>
      <w:r>
        <w:t>))</w:t>
      </w:r>
      <w:r>
        <w:rPr/>
        <w:t xml:space="preserve"> </w:t>
      </w:r>
      <w:r>
        <w:rPr>
          <w:u w:val="single"/>
        </w:rPr>
        <w:t xml:space="preserve">21</w:t>
      </w:r>
      <w:r>
        <w:rPr/>
        <w:t xml:space="preserv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w:t>
      </w:r>
      <w:r>
        <w:t>((</w:t>
      </w:r>
      <w:r>
        <w:rPr>
          <w:strike/>
        </w:rPr>
        <w:t xml:space="preserve">seventy-two</w:t>
      </w:r>
      <w:r>
        <w:t>))</w:t>
      </w:r>
      <w:r>
        <w:rPr/>
        <w:t xml:space="preserve"> </w:t>
      </w:r>
      <w:r>
        <w:rPr>
          <w:u w:val="single"/>
        </w:rPr>
        <w:t xml:space="preserve">72</w:t>
      </w:r>
      <w:r>
        <w:rPr/>
        <w:t xml:space="preserve">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w:t>
      </w:r>
      <w:r>
        <w:t>((</w:t>
      </w:r>
      <w:r>
        <w:rPr>
          <w:strike/>
        </w:rPr>
        <w:t xml:space="preserve">twenty-one</w:t>
      </w:r>
      <w:r>
        <w:t>))</w:t>
      </w:r>
      <w:r>
        <w:rPr/>
        <w:t xml:space="preserve"> </w:t>
      </w:r>
      <w:r>
        <w:rPr>
          <w:u w:val="single"/>
        </w:rPr>
        <w:t xml:space="preserve">21</w:t>
      </w:r>
      <w:r>
        <w:rPr/>
        <w:t xml:space="preserv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was 0.02 or more, or the THC concentration of the person's blood was above 0.00, if the person is under the age of </w:t>
      </w:r>
      <w:r>
        <w:t>((</w:t>
      </w:r>
      <w:r>
        <w:rPr>
          <w:strike/>
        </w:rPr>
        <w:t xml:space="preserve">twenty-one</w:t>
      </w:r>
      <w:r>
        <w:t>))</w:t>
      </w:r>
      <w:r>
        <w:rPr/>
        <w:t xml:space="preserve"> </w:t>
      </w:r>
      <w:r>
        <w:rPr>
          <w:u w:val="single"/>
        </w:rPr>
        <w:t xml:space="preserve">21</w:t>
      </w:r>
      <w:r>
        <w:rPr/>
        <w:t xml:space="preserv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w:t>
      </w:r>
      <w:r>
        <w:t>((</w:t>
      </w:r>
      <w:r>
        <w:rPr>
          <w:strike/>
        </w:rPr>
        <w:t xml:space="preserve">three hundred seventy-five dollars</w:t>
      </w:r>
      <w:r>
        <w:t>))</w:t>
      </w:r>
      <w:r>
        <w:rPr/>
        <w:t xml:space="preserve"> </w:t>
      </w:r>
      <w:r>
        <w:rPr>
          <w:u w:val="single"/>
        </w:rPr>
        <w:t xml:space="preserve">$375</w:t>
      </w:r>
      <w:r>
        <w:rPr/>
        <w:t xml:space="preserve"> as part of the request. If the request is mailed, it must be postmarked within seven days after receipt of the notification. Upon timely receipt of such a request for a formal hearing, including receipt of the required </w:t>
      </w:r>
      <w:r>
        <w:t>((</w:t>
      </w:r>
      <w:r>
        <w:rPr>
          <w:strike/>
        </w:rPr>
        <w:t xml:space="preserve">three hundred seventy-five dollar</w:t>
      </w:r>
      <w:r>
        <w:t>))</w:t>
      </w:r>
      <w:r>
        <w:rPr/>
        <w:t xml:space="preserve"> </w:t>
      </w:r>
      <w:r>
        <w:rPr>
          <w:u w:val="single"/>
        </w:rPr>
        <w:t xml:space="preserve">$375</w:t>
      </w:r>
      <w:r>
        <w:rPr/>
        <w:t xml:space="preserve"> fee, the department shall afford the person an opportunity for a hearing. The department may waive the required </w:t>
      </w:r>
      <w:r>
        <w:t>((</w:t>
      </w:r>
      <w:r>
        <w:rPr>
          <w:strike/>
        </w:rPr>
        <w:t xml:space="preserve">three hundred seventy-five dollar</w:t>
      </w:r>
      <w:r>
        <w:t>))</w:t>
      </w:r>
      <w:r>
        <w:rPr/>
        <w:t xml:space="preserve"> </w:t>
      </w:r>
      <w:r>
        <w:rPr>
          <w:u w:val="single"/>
        </w:rPr>
        <w:t xml:space="preserve">$375</w:t>
      </w:r>
      <w:r>
        <w:rPr/>
        <w:t xml:space="preserve">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thirty</w:t>
      </w:r>
      <w:r>
        <w:t>))</w:t>
      </w:r>
      <w:r>
        <w:rPr/>
        <w:t xml:space="preserve"> </w:t>
      </w:r>
      <w:r>
        <w:rPr>
          <w:u w:val="single"/>
        </w:rPr>
        <w:t xml:space="preserve">30</w:t>
      </w:r>
      <w:r>
        <w:rPr/>
        <w:t xml:space="preserve"> days, excluding Saturdays, Sundays, and legal holidays, following the date of timely receipt of such request for a formal hearing before the department or </w:t>
      </w:r>
      <w:r>
        <w:t>((</w:t>
      </w:r>
      <w:r>
        <w:rPr>
          <w:strike/>
        </w:rPr>
        <w:t xml:space="preserve">thirty</w:t>
      </w:r>
      <w:r>
        <w:t>))</w:t>
      </w:r>
      <w:r>
        <w:rPr/>
        <w:t xml:space="preserve"> </w:t>
      </w:r>
      <w:r>
        <w:rPr>
          <w:u w:val="single"/>
        </w:rPr>
        <w:t xml:space="preserve">30</w:t>
      </w:r>
      <w:r>
        <w:rPr/>
        <w:t xml:space="preserve">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w:t>
      </w:r>
      <w:r>
        <w:t>((</w:t>
      </w:r>
      <w:r>
        <w:rPr>
          <w:strike/>
        </w:rPr>
        <w:t xml:space="preserve">twenty-one</w:t>
      </w:r>
      <w:r>
        <w:t>))</w:t>
      </w:r>
      <w:r>
        <w:rPr/>
        <w:t xml:space="preserve"> </w:t>
      </w:r>
      <w:r>
        <w:rPr>
          <w:u w:val="single"/>
        </w:rPr>
        <w:t xml:space="preserve">21</w:t>
      </w:r>
      <w:r>
        <w:rPr/>
        <w:t xml:space="preserv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w:t>
      </w:r>
      <w:r>
        <w:t>((</w:t>
      </w:r>
      <w:r>
        <w:rPr>
          <w:strike/>
        </w:rPr>
        <w:t xml:space="preserve">twenty-one</w:t>
      </w:r>
      <w:r>
        <w:t>))</w:t>
      </w:r>
      <w:r>
        <w:rPr/>
        <w:t xml:space="preserve"> </w:t>
      </w:r>
      <w:r>
        <w:rPr>
          <w:u w:val="single"/>
        </w:rPr>
        <w:t xml:space="preserve">21</w:t>
      </w:r>
      <w:r>
        <w:rPr/>
        <w:t xml:space="preserve"> or over at the time of the arrest, or that the alcohol concentration of the person's breath or blood was 0.02 or more, or the THC concentration of the person's blood was above 0.00, if the person was under the age of </w:t>
      </w:r>
      <w:r>
        <w:t>((</w:t>
      </w:r>
      <w:r>
        <w:rPr>
          <w:strike/>
        </w:rPr>
        <w:t xml:space="preserve">twenty-one</w:t>
      </w:r>
      <w:r>
        <w:t>))</w:t>
      </w:r>
      <w:r>
        <w:rPr/>
        <w:t xml:space="preserve"> </w:t>
      </w:r>
      <w:r>
        <w:rPr>
          <w:u w:val="single"/>
        </w:rPr>
        <w:t xml:space="preserve">21</w:t>
      </w:r>
      <w:r>
        <w:rPr/>
        <w:t xml:space="preserve"> at the time of the arrest. Where a person is found to be in actual physical control of a motor vehicle while under the influence of intoxicating liquor or any drug or was under the age of </w:t>
      </w:r>
      <w:r>
        <w:t>((</w:t>
      </w:r>
      <w:r>
        <w:rPr>
          <w:strike/>
        </w:rPr>
        <w:t xml:space="preserve">twenty-one</w:t>
      </w:r>
      <w:r>
        <w:t>))</w:t>
      </w:r>
      <w:r>
        <w:rPr/>
        <w:t xml:space="preserve"> </w:t>
      </w:r>
      <w:r>
        <w:rPr>
          <w:u w:val="single"/>
        </w:rPr>
        <w:t xml:space="preserve">21</w:t>
      </w:r>
      <w:r>
        <w:rPr/>
        <w:t xml:space="preserv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w:t>
      </w:r>
      <w:r>
        <w:t>((</w:t>
      </w:r>
      <w:r>
        <w:rPr>
          <w:strike/>
        </w:rPr>
        <w:t xml:space="preserve">twenty-one</w:t>
      </w:r>
      <w:r>
        <w:t>))</w:t>
      </w:r>
      <w:r>
        <w:rPr/>
        <w:t xml:space="preserve"> </w:t>
      </w:r>
      <w:r>
        <w:rPr>
          <w:u w:val="single"/>
        </w:rPr>
        <w:t xml:space="preserve">21</w:t>
      </w:r>
      <w:r>
        <w:rPr/>
        <w:t xml:space="preserv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w:t>
      </w:r>
      <w:r>
        <w:t>((</w:t>
      </w:r>
      <w:r>
        <w:rPr>
          <w:strike/>
        </w:rPr>
        <w:t xml:space="preserve">thirty</w:t>
      </w:r>
      <w:r>
        <w:t>))</w:t>
      </w:r>
      <w:r>
        <w:rPr/>
        <w:t xml:space="preserve"> </w:t>
      </w:r>
      <w:r>
        <w:rPr>
          <w:u w:val="single"/>
        </w:rPr>
        <w:t xml:space="preserve">30</w:t>
      </w:r>
      <w:r>
        <w:rPr/>
        <w:t xml:space="preserve">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w:t>
      </w:r>
      <w:r>
        <w:t>((</w:t>
      </w:r>
      <w:r>
        <w:rPr>
          <w:strike/>
        </w:rPr>
        <w:t xml:space="preserve">one hundred fifty</w:t>
      </w:r>
      <w:r>
        <w:t>))</w:t>
      </w:r>
      <w:r>
        <w:rPr/>
        <w:t xml:space="preserve"> </w:t>
      </w:r>
      <w:r>
        <w:rPr>
          <w:u w:val="single"/>
        </w:rPr>
        <w:t xml:space="preserve">150</w:t>
      </w:r>
      <w:r>
        <w:rPr/>
        <w:t xml:space="preserve">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2020 c 330 s 6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0.05</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w:t>
      </w:r>
      <w:r>
        <w:t>((</w:t>
      </w:r>
      <w:r>
        <w:rPr>
          <w:strike/>
        </w:rPr>
        <w:t xml:space="preserve">ninety</w:t>
      </w:r>
      <w:r>
        <w:t>))</w:t>
      </w:r>
      <w:r>
        <w:rPr/>
        <w:t xml:space="preserve"> </w:t>
      </w:r>
      <w:r>
        <w:rPr>
          <w:u w:val="single"/>
        </w:rPr>
        <w:t xml:space="preserve">90</w:t>
      </w:r>
      <w:r>
        <w:rPr/>
        <w:t xml:space="preserve">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w:t>
      </w:r>
      <w:r>
        <w:t>((</w:t>
      </w:r>
      <w:r>
        <w:rPr>
          <w:strike/>
        </w:rPr>
        <w:t xml:space="preserve">twenty-one</w:t>
      </w:r>
      <w:r>
        <w:t>))</w:t>
      </w:r>
      <w:r>
        <w:rPr/>
        <w:t xml:space="preserve"> </w:t>
      </w:r>
      <w:r>
        <w:rPr>
          <w:u w:val="single"/>
        </w:rPr>
        <w:t xml:space="preserve">21</w:t>
      </w:r>
      <w:r>
        <w:rPr/>
        <w:t xml:space="preserv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a second or subsequent incident within seven years, revocation or denial for one year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(4) The department shall grant credit on a day-for-day basis for a suspension, revocation, or denial imposed under this section for any portion of a suspension, revocation, or denial already served under RCW 46.61.5055 arising out of the same incident. 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2023.</w:t>
      </w:r>
    </w:p>
    <w:p/>
    <w:p>
      <w:pPr>
        <w:jc w:val="center"/>
      </w:pPr>
      <w:r>
        <w:rPr>
          <w:b/>
        </w:rPr>
        <w:t>--- END ---</w:t>
      </w:r>
    </w:p>
    <w:sectPr>
      <w:pgNumType w:start="1"/>
      <w:footerReference xmlns:r="http://schemas.openxmlformats.org/officeDocument/2006/relationships" r:id="Rd4f58557ceba4e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d5d178d064d17" /><Relationship Type="http://schemas.openxmlformats.org/officeDocument/2006/relationships/footer" Target="/word/footer1.xml" Id="Rd4f58557ceba4ec4" /></Relationships>
</file>