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7ef12447c4c0b" /></Relationships>
</file>

<file path=word/document.xml><?xml version="1.0" encoding="utf-8"?>
<w:document xmlns:w="http://schemas.openxmlformats.org/wordprocessingml/2006/main">
  <w:body>
    <w:p>
      <w:r>
        <w:t>S-0103.1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5035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Padden, Fortunato, Short, J. Wilson, MacEwen, Boehnke, Schoesler, Warnick, Dozier, Wagoner, Holy, McCune, Torres, and L. Wilson</w:t>
      </w:r>
    </w:p>
    <w:p/>
    <w:p>
      <w:r>
        <w:rPr>
          <w:t xml:space="preserve">Prefiled 12/08/22.</w:t>
        </w:rPr>
      </w:r>
      <w:r>
        <w:rPr>
          <w:t xml:space="preserve">Read first time 01/09/23.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possession of controlled substances; amending RCW 69.50.4011; repealing RCW 10.31.115; repealing 2021 c 311 ss 15 and 16; repealing 2021 c 311 s 29 (uncodified);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4011</w:t>
      </w:r>
      <w:r>
        <w:rPr/>
        <w:t xml:space="preserve"> and 2021 c 311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authorized by this chapter, it is unlawful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Any person to create or deliver a counterfeit substance;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 person to knowingly possess a counterfeit substance.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person who violates subsection (1)(a) of this section with respect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counterfeit substance classified in Schedule I or II which is a narcotic drug, or flunitrazepam classified in Schedule IV, is guilty of a class B felony and upon conviction may be imprisoned for not more than ten years, fined not more than twenty-five thousand dollars, or both;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counterfeit substance which is methamphetamine, is guilty of a class B felony and upon conviction may be imprisoned for not more than ten years, fined not more than twenty-five thousand dollars, or both;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other counterfeit substance classified in Schedule I, II, or III, is guilty of a class C felony punishable according to chapter 9A.20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counterfeit substance classified in Schedule IV, except flunitrazepam, is guilty of a class C felony punishable according to chapter 9A.20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counterfeit substance classified in Schedule V, is guilty of a class C felony punishable according to chapter 9A.20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violation of subsection (1)(b) of this section is a </w:t>
      </w:r>
      <w:r>
        <w:t>((</w:t>
      </w:r>
      <w:r>
        <w:rPr>
          <w:strike/>
        </w:rPr>
        <w:t xml:space="preserve">misdemeanor</w:t>
      </w:r>
      <w:r>
        <w:t>))</w:t>
      </w:r>
      <w:r>
        <w:rPr/>
        <w:t xml:space="preserve"> </w:t>
      </w:r>
      <w:r>
        <w:rPr>
          <w:u w:val="single"/>
        </w:rPr>
        <w:t xml:space="preserve">class C felony</w:t>
      </w:r>
      <w:r>
        <w:rPr/>
        <w:t xml:space="preserve">. The prosecutor is encouraged to divert such cases for assessment, treatment, or other services </w:t>
      </w:r>
      <w:r>
        <w:rPr>
          <w:u w:val="single"/>
        </w:rPr>
        <w:t xml:space="preserve">for a person's first two violations under this subsection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10</w:t>
      </w:r>
      <w:r>
        <w:rPr/>
        <w:t xml:space="preserve">.</w:t>
      </w:r>
      <w:r>
        <w:t xml:space="preserve">31</w:t>
      </w:r>
      <w:r>
        <w:rPr/>
        <w:t xml:space="preserve">.</w:t>
      </w:r>
      <w:r>
        <w:t xml:space="preserve">115</w:t>
      </w:r>
      <w:r>
        <w:rPr/>
        <w:t xml:space="preserve"> (Drug possession</w:t>
      </w:r>
      <w:r>
        <w:rPr>
          <w:rFonts w:ascii="Times New Roman" w:hAnsi="Times New Roman"/>
        </w:rPr>
        <w:t xml:space="preserve">—</w:t>
      </w:r>
      <w:r>
        <w:rPr/>
        <w:t xml:space="preserve">Referral to assessment and services) and 2021 c 311 s 13;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 </w:t>
      </w:r>
      <w:r>
        <w:rPr/>
        <w:t xml:space="preserve">2021 c 311 s 15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(3) </w:t>
      </w:r>
      <w:r>
        <w:rPr/>
        <w:t xml:space="preserve">2021 c 311 s 16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(4) </w:t>
      </w:r>
      <w:r>
        <w:rPr/>
        <w:t xml:space="preserve">2021 c 311 s 29</w:t>
      </w:r>
      <w:r>
        <w:rPr/>
        <w:t xml:space="preserve"> (uncodified).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3b28b988fa7414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5035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b8e377b2475a" /><Relationship Type="http://schemas.openxmlformats.org/officeDocument/2006/relationships/footer" Target="/word/footer1.xml" Id="R33b28b988fa74141" /></Relationships>
</file>