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394a8ede184245" /></Relationships>
</file>

<file path=word/document.xml><?xml version="1.0" encoding="utf-8"?>
<w:document xmlns:w="http://schemas.openxmlformats.org/wordprocessingml/2006/main">
  <w:body>
    <w:p>
      <w:r>
        <w:t>S-0184.2</w:t>
      </w:r>
    </w:p>
    <w:p>
      <w:pPr>
        <w:jc w:val="center"/>
      </w:pPr>
      <w:r>
        <w:t>_______________________________________________</w:t>
      </w:r>
    </w:p>
    <w:p/>
    <w:p>
      <w:pPr>
        <w:jc w:val="center"/>
      </w:pPr>
      <w:r>
        <w:rPr>
          <w:b/>
        </w:rPr>
        <w:t>SENATE BILL 5049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 Wilson, Braun, Dozier, Fortunato, McCune, Schoesler, Short, Torres, Wagoner, and Warnick</w:t>
      </w:r>
    </w:p>
    <w:p/>
    <w:p>
      <w:r>
        <w:rPr>
          <w:t xml:space="preserve">Prefiled 12/15/22.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firearm theft; amending RCW 9.94A.515 and 9.94A.589; adding a new section to chapter 9A.56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person is guilty of theft of a firearm from a residence, store, shop, sales outlet, or vehicle if he or she commits a theft of any firearm from a residence, store, shop, or sales outlet where firearms are sold, or from any vehicle.</w:t>
      </w:r>
    </w:p>
    <w:p>
      <w:pPr>
        <w:spacing w:before="0" w:after="0" w:line="408" w:lineRule="exact"/>
        <w:ind w:left="0" w:right="0" w:firstLine="576"/>
        <w:jc w:val="left"/>
      </w:pPr>
      <w:r>
        <w:rPr/>
        <w:t xml:space="preserve">(2) This section applies regardless of the value of the firearm taken in the theft.</w:t>
      </w:r>
    </w:p>
    <w:p>
      <w:pPr>
        <w:spacing w:before="0" w:after="0" w:line="408" w:lineRule="exact"/>
        <w:ind w:left="0" w:right="0" w:firstLine="576"/>
        <w:jc w:val="left"/>
      </w:pPr>
      <w:r>
        <w:rPr/>
        <w:t xml:space="preserve">(3) Each firearm taken in the theft under this section is a separate offense.</w:t>
      </w:r>
    </w:p>
    <w:p>
      <w:pPr>
        <w:spacing w:before="0" w:after="0" w:line="408" w:lineRule="exact"/>
        <w:ind w:left="0" w:right="0" w:firstLine="576"/>
        <w:jc w:val="left"/>
      </w:pPr>
      <w:r>
        <w:rPr/>
        <w:t xml:space="preserve">(4)(a) For the purposes of this section, "theft" has the same meaning as defined in RCW 9A.56.020.</w:t>
      </w:r>
    </w:p>
    <w:p>
      <w:pPr>
        <w:spacing w:before="0" w:after="0" w:line="408" w:lineRule="exact"/>
        <w:ind w:left="0" w:right="0" w:firstLine="576"/>
        <w:jc w:val="left"/>
      </w:pPr>
      <w:r>
        <w:rPr/>
        <w:t xml:space="preserve">(b) The defense allowed against the prosecution for theft under RCW 9A.56.020 shall apply to the crime of theft of a firearm.</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"Firearm" means any firearm as defined in RCW 9.41.010.</w:t>
      </w:r>
    </w:p>
    <w:p>
      <w:pPr>
        <w:spacing w:before="0" w:after="0" w:line="408" w:lineRule="exact"/>
        <w:ind w:left="0" w:right="0" w:firstLine="576"/>
        <w:jc w:val="left"/>
      </w:pPr>
      <w:r>
        <w:rPr/>
        <w:t xml:space="preserve">(b) "Vehicle" means any vehicle as defined in RCW 46.04.670.</w:t>
      </w:r>
    </w:p>
    <w:p>
      <w:pPr>
        <w:spacing w:before="0" w:after="0" w:line="408" w:lineRule="exact"/>
        <w:ind w:left="0" w:right="0" w:firstLine="576"/>
        <w:jc w:val="left"/>
      </w:pPr>
      <w:r>
        <w:rPr/>
        <w:t xml:space="preserve">(6) Theft of a firearm from a residence, store, shop, sales outlet, or vehicle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2022 c 231 s 13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Theft of a firearm from a residence, store, shop, sales outlet, or vehicle (section 1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2020 c 276 s 1 are each amended to read as follows:</w:t>
      </w:r>
    </w:p>
    <w:p>
      <w:pPr>
        <w:spacing w:before="0" w:after="0" w:line="408" w:lineRule="exact"/>
        <w:ind w:left="0" w:right="0" w:firstLine="576"/>
        <w:jc w:val="left"/>
      </w:pPr>
      <w:r>
        <w:rPr/>
        <w:t xml:space="preserve">(1)(a) Except as provided in (b), (c), or (d)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this subsection (1)(b) shall be served consecutively to each other and concurrently with sentences imposed under (a) of this subsection. Even if the court orders the confinement terms to run consecutively to each other, the terms of community custody shall run concurrently to each other, unless the court expressly orders the community custody terms to run consecutively to each other.</w:t>
      </w:r>
    </w:p>
    <w:p>
      <w:pPr>
        <w:spacing w:before="0" w:after="0" w:line="408" w:lineRule="exact"/>
        <w:ind w:left="0" w:right="0" w:firstLine="576"/>
        <w:jc w:val="left"/>
      </w:pPr>
      <w:r>
        <w:rPr/>
        <w:t xml:space="preserve">(c) If an offender is convicted under RCW 9.41.040 for unlawful possession of a firearm in the first or second degree and for </w:t>
      </w:r>
      <w:r>
        <w:t>((</w:t>
      </w:r>
      <w:r>
        <w:rPr>
          <w:strike/>
        </w:rPr>
        <w:t xml:space="preserve">the</w:t>
      </w:r>
      <w:r>
        <w:t>))</w:t>
      </w:r>
      <w:r>
        <w:rPr/>
        <w:t xml:space="preserve"> </w:t>
      </w:r>
      <w:r>
        <w:rPr>
          <w:u w:val="single"/>
        </w:rPr>
        <w:t xml:space="preserve">one or more of the following</w:t>
      </w:r>
      <w:r>
        <w:rPr/>
        <w:t xml:space="preserve"> felony crimes </w:t>
      </w:r>
      <w:r>
        <w:t>((</w:t>
      </w:r>
      <w:r>
        <w:rPr>
          <w:strike/>
        </w:rPr>
        <w:t xml:space="preserve">of theft</w:t>
      </w:r>
      <w:r>
        <w:t>))</w:t>
      </w:r>
      <w:r>
        <w:rPr>
          <w:u w:val="single"/>
        </w:rPr>
        <w:t xml:space="preserve">: (i) Theft</w:t>
      </w:r>
      <w:r>
        <w:rPr/>
        <w:t xml:space="preserve"> of a firearm</w:t>
      </w:r>
      <w:r>
        <w:rPr>
          <w:u w:val="single"/>
        </w:rPr>
        <w:t xml:space="preserve">; or (ii) theft of a firearm from a residence, store, shop, sales outlet, or vehicle (section 1 of this act);</w:t>
      </w:r>
      <w:r>
        <w:rPr/>
        <w:t xml:space="preserve"> or </w:t>
      </w:r>
      <w:r>
        <w:rPr>
          <w:u w:val="single"/>
        </w:rPr>
        <w:t xml:space="preserve">(iii)</w:t>
      </w:r>
      <w:r>
        <w:rPr/>
        <w:t xml:space="preserve"> possession of a stolen firearm, </w:t>
      </w:r>
      <w:r>
        <w:t>((</w:t>
      </w:r>
      <w:r>
        <w:rPr>
          <w:strike/>
        </w:rPr>
        <w:t xml:space="preserve">or both,</w:t>
      </w:r>
      <w:r>
        <w:t>))</w:t>
      </w:r>
      <w:r>
        <w:rPr/>
        <w:t xml:space="preserve">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Whenever a person while under sentence for conviction of a felony commits another felony and is sentenced to another term of confinement, the latter term of confinement shall not begin until expiration of all prior terms of confinement. However, any terms of community custody shall run concurrently to each other, unless the court pronouncing the current sentence expressly orders that they be served consecutively.</w:t>
      </w:r>
    </w:p>
    <w:p>
      <w:pPr>
        <w:spacing w:before="0" w:after="0" w:line="408" w:lineRule="exact"/>
        <w:ind w:left="0" w:right="0" w:firstLine="576"/>
        <w:jc w:val="left"/>
      </w:pPr>
      <w:r>
        <w:rPr/>
        <w:t xml:space="preserve">(b) Whenever a second or later felony conviction results in consecutive community custody with conditions not currently in effect, under the prior sentence or sentences of community custody, the court may require that the conditions of community custody contained in the second or later sentence begin during the immediate term of community custody and continue throughout the duration of the consecutive term of community custody.</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 confinement terms be served consecutively to each other. Even if the court orders the confinement terms to run consecutively to each other, the terms of community custody shall run concurrently to each other, unless the court expressly orders the community custody terms to run consecutively to each other.</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
      <w:pPr>
        <w:jc w:val="center"/>
      </w:pPr>
      <w:r>
        <w:rPr>
          <w:b/>
        </w:rPr>
        <w:t>--- END ---</w:t>
      </w:r>
    </w:p>
    <w:sectPr>
      <w:pgNumType w:start="1"/>
      <w:footerReference xmlns:r="http://schemas.openxmlformats.org/officeDocument/2006/relationships" r:id="R38e0ffd636b04d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16eb992bd45d6" /><Relationship Type="http://schemas.openxmlformats.org/officeDocument/2006/relationships/footer" Target="/word/footer1.xml" Id="R38e0ffd636b04dcf" /></Relationships>
</file>