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294b7f4caa4fd2" /></Relationships>
</file>

<file path=word/document.xml><?xml version="1.0" encoding="utf-8"?>
<w:document xmlns:w="http://schemas.openxmlformats.org/wordprocessingml/2006/main">
  <w:body>
    <w:p>
      <w:r>
        <w:t>S-0050.3</w:t>
      </w:r>
    </w:p>
    <w:p>
      <w:pPr>
        <w:jc w:val="center"/>
      </w:pPr>
      <w:r>
        <w:t>_______________________________________________</w:t>
      </w:r>
    </w:p>
    <w:p/>
    <w:p>
      <w:pPr>
        <w:jc w:val="center"/>
      </w:pPr>
      <w:r>
        <w:rPr>
          <w:b/>
        </w:rPr>
        <w:t>SENATE BILL 5082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Hunt, Conway, Dhingra, Frame, Hasegawa, Nguyen, Nobles, Pedersen, Rolfes, Valdez, Van De Wege, Wellman, and C. Wilson</w:t>
      </w:r>
    </w:p>
    <w:p/>
    <w:p>
      <w:r>
        <w:rPr>
          <w:t xml:space="preserve">Prefiled 12/21/22.</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electoral participation and making ballots more meaningful by abolishing advisory votes; amending RCW 29A.32.070, 29A.64.090, 29A.72.040, 29A.72.250, 29A.72.290, and 29A.32.031; adding a new section to chapter 29A.32 RCW; creating a new section; and repealing RCW 29A.72.283, 29A.72.285, and 43.135.041.</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STATEMENT OF 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making the act of casting a ballot as simple as possible will help promote the free and equal elections guaranteed by Article I, section 19 and Article VI, section 1 of the Washington state Constitution. The legislature recognizes that transparency and fiscal responsibility are important to the people of Washington, and that election administration and ballot design should reflect these long-held values. The legislature further finds that the people rightfully expect items on their ballots to be neutrally and accurately worded. Finally, the legislature finds for the votes that Washingtonians cast to have meaning, the ballot must be limited to candidate elections that give the people the power to choose their representatives or ballot measures that determine what laws and plan of government the state and its localities shall have.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REPEAL OF ADVISORY VOTES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2016 c 83 s 1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 </w:t>
      </w:r>
      <w:r>
        <w:t>((</w:t>
      </w:r>
      <w:r>
        <w:rPr>
          <w:strike/>
        </w:rPr>
        <w:t xml:space="preserve">except measures for an advisory vote of the people whose requirements are provided in subsection (11) of this section</w:t>
      </w:r>
      <w:r>
        <w:t>))</w:t>
      </w:r>
      <w:r>
        <w:rPr/>
        <w:t xml:space="preserve">:</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r>
        <w:t>((</w:t>
      </w:r>
      <w:r>
        <w:rPr>
          <w:strike/>
        </w:rPr>
        <w:t xml:space="preserve">;</w:t>
      </w:r>
    </w:p>
    <w:p>
      <w:pPr>
        <w:spacing w:before="0" w:after="0" w:line="408" w:lineRule="exact"/>
        <w:ind w:left="0" w:right="0" w:firstLine="576"/>
        <w:jc w:val="left"/>
      </w:pPr>
      <w:r>
        <w:rPr>
          <w:strike/>
        </w:rPr>
        <w:t xml:space="preserve">(11)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strike/>
        </w:rPr>
        <w:t xml:space="preserve">to</w:t>
      </w:r>
      <w:r>
        <w:rPr/>
        <w:noBreakHyphen/>
      </w:r>
      <w:r>
        <w:rPr>
          <w:strike/>
        </w:rPr>
        <w:t xml:space="preserve">date ten</w:t>
      </w:r>
      <w:r>
        <w:rPr/>
        <w:noBreakHyphen/>
      </w:r>
      <w:r>
        <w:rPr>
          <w:strike/>
        </w:rPr>
        <w:t xml:space="preserve">year cost projection, including a year</w:t>
      </w:r>
      <w:r>
        <w:rPr/>
        <w:noBreakHyphen/>
      </w:r>
      <w:r>
        <w:rPr>
          <w:strike/>
        </w:rPr>
        <w:t xml:space="preserve">by</w:t>
      </w:r>
      <w:r>
        <w:rPr/>
        <w:noBreakHyphen/>
      </w:r>
      <w:r>
        <w:rPr>
          <w:strike/>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090</w:t>
      </w:r>
      <w:r>
        <w:rPr/>
        <w:t xml:space="preserve"> and 2016 c 204 s 1 are each amended to read as follows:</w:t>
      </w:r>
    </w:p>
    <w:p>
      <w:pPr>
        <w:spacing w:before="0" w:after="0" w:line="408" w:lineRule="exact"/>
        <w:ind w:left="0" w:right="0" w:firstLine="576"/>
        <w:jc w:val="left"/>
      </w:pPr>
      <w:r>
        <w:rPr/>
        <w:t xml:space="preserve">When the official canvass of returns of any election reveals that the difference in the number of votes cast for the approval of a statewide measure and the number of votes cast for the rejection of such measure is less than two thousand votes and also less than one-half of one percent of the total number of votes cast on such measure, the secretary of state shall direct that a recount of all votes cast on such measure be made on such measure, in the manner provided by RCW 29A.64.041 and 29A.64.061, and the cost of such recount will be at state expense. </w:t>
      </w:r>
      <w:r>
        <w:t>((</w:t>
      </w:r>
      <w:r>
        <w:rPr>
          <w:strike/>
        </w:rPr>
        <w:t xml:space="preserve">This section does not apply to any statewide advisory vote of the people that was placed on the ballot pursuant to RCW 43.135.041 and the secretary of state shall not direct any recount for any statewide advisory vote of the people.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040</w:t>
      </w:r>
      <w:r>
        <w:rPr/>
        <w:t xml:space="preserve"> and 2008 c 1 s 7 are each amended to read as follows:</w:t>
      </w:r>
    </w:p>
    <w:p>
      <w:pPr>
        <w:spacing w:before="0" w:after="0" w:line="408" w:lineRule="exact"/>
        <w:ind w:left="0" w:right="0" w:firstLine="576"/>
        <w:jc w:val="left"/>
      </w:pPr>
      <w:r>
        <w:rPr/>
        <w:t xml:space="preserve">The secretary of state shall give a serial number to each initiative, referendum bill, </w:t>
      </w:r>
      <w:r>
        <w:rPr>
          <w:u w:val="single"/>
        </w:rPr>
        <w:t xml:space="preserve">or</w:t>
      </w:r>
      <w:r>
        <w:rPr/>
        <w:t xml:space="preserve"> referendum measure, </w:t>
      </w:r>
      <w:r>
        <w:t>((</w:t>
      </w:r>
      <w:r>
        <w:rPr>
          <w:strike/>
        </w:rPr>
        <w:t xml:space="preserve">or measure for an advisory vote of the people,</w:t>
      </w:r>
      <w:r>
        <w:t>))</w:t>
      </w:r>
      <w:r>
        <w:rPr/>
        <w:t xml:space="preserve"> using a separate series for initiatives to the legislature, initiatives to the people, referendum bills, </w:t>
      </w:r>
      <w:r>
        <w:rPr>
          <w:u w:val="single"/>
        </w:rPr>
        <w:t xml:space="preserve">and</w:t>
      </w:r>
      <w:r>
        <w:rPr/>
        <w:t xml:space="preserve"> referendum measures, </w:t>
      </w:r>
      <w:r>
        <w:t>((</w:t>
      </w:r>
      <w:r>
        <w:rPr>
          <w:strike/>
        </w:rPr>
        <w:t xml:space="preserve">and measures for an advisory vote of the people,</w:t>
      </w:r>
      <w:r>
        <w:t>))</w:t>
      </w:r>
      <w:r>
        <w:rPr/>
        <w:t xml:space="preserve"> and forthwith transmit one copy of the measure proposed bearing its serial number to the attorney general. Thereafter a measure shall be known and designated on all petitions, ballots, and proceedings as "Initiative Measure No. . . . .," "Referendum Bill No. . . . .," </w:t>
      </w:r>
      <w:r>
        <w:rPr>
          <w:u w:val="single"/>
        </w:rPr>
        <w:t xml:space="preserve">or</w:t>
      </w:r>
      <w:r>
        <w:rPr/>
        <w:t xml:space="preserve"> "Referendum Measure No. . . . .</w:t>
      </w:r>
      <w:r>
        <w:t>((</w:t>
      </w:r>
      <w:r>
        <w:rPr>
          <w:strike/>
        </w:rPr>
        <w:t xml:space="preserve">,</w:t>
      </w:r>
      <w:r>
        <w:t>))</w:t>
      </w:r>
      <w:r>
        <w:rPr>
          <w:u w:val="single"/>
        </w:rPr>
        <w:t xml:space="preserve">.</w:t>
      </w:r>
      <w:r>
        <w:rPr/>
        <w:t xml:space="preserve">" </w:t>
      </w:r>
      <w:r>
        <w:t>((</w:t>
      </w:r>
      <w:r>
        <w:rPr>
          <w:strike/>
        </w:rPr>
        <w:t xml:space="preserve">or "Advisory Vote No. . . . .."</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250</w:t>
      </w:r>
      <w:r>
        <w:rPr/>
        <w:t xml:space="preserve"> and 2013 c 11 s 75 are each amended to read as follows:</w:t>
      </w:r>
    </w:p>
    <w:p>
      <w:pPr>
        <w:spacing w:before="0" w:after="0" w:line="408" w:lineRule="exact"/>
        <w:ind w:left="0" w:right="0" w:firstLine="576"/>
        <w:jc w:val="left"/>
      </w:pPr>
      <w:r>
        <w:rPr/>
        <w:t xml:space="preserve">If a referendum or initiative petition for submission of a measure to the people is found sufficient, the secretary of state shall at the time and in the manner that he or she certifies to the county auditors of the various counties the names of candidates for state and district officers certify to each county auditor the serial numbers and ballot titles of the several initiative and referendum measures </w:t>
      </w:r>
      <w:r>
        <w:t>((</w:t>
      </w:r>
      <w:r>
        <w:rPr>
          <w:strike/>
        </w:rPr>
        <w:t xml:space="preserve">and serial numbers and short descriptions of measures submitted for an advisory vote of the people</w:t>
      </w:r>
      <w:r>
        <w:t>))</w:t>
      </w:r>
      <w:r>
        <w:rPr/>
        <w:t xml:space="preserve"> to be voted upon at the next ensuing general election or special election ordered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290</w:t>
      </w:r>
      <w:r>
        <w:rPr/>
        <w:t xml:space="preserve"> and 2022 c 114 s 4 are each amended to read as follows:</w:t>
      </w:r>
    </w:p>
    <w:p>
      <w:pPr>
        <w:spacing w:before="0" w:after="0" w:line="408" w:lineRule="exact"/>
        <w:ind w:left="0" w:right="0" w:firstLine="576"/>
        <w:jc w:val="left"/>
      </w:pPr>
      <w:r>
        <w:rPr/>
        <w:t xml:space="preserve">The county auditor of each county shall print </w:t>
      </w:r>
      <w:r>
        <w:rPr>
          <w:u w:val="single"/>
        </w:rPr>
        <w:t xml:space="preserve">the serial numbers, ballot titles, and public investment impact disclosures certified by the secretary of state</w:t>
      </w:r>
      <w:r>
        <w:rPr/>
        <w:t xml:space="preserve"> on the official ballots for the election at which initiative and referendum measures </w:t>
      </w:r>
      <w:r>
        <w:t>((</w:t>
      </w:r>
      <w:r>
        <w:rPr>
          <w:strike/>
        </w:rPr>
        <w:t xml:space="preserve">and measures for an advisory vote of the people</w:t>
      </w:r>
      <w:r>
        <w:t>))</w:t>
      </w:r>
      <w:r>
        <w:rPr/>
        <w:t xml:space="preserve"> are to be submitted to the people for their approval or rejection</w:t>
      </w:r>
      <w:r>
        <w:t>((</w:t>
      </w:r>
      <w:r>
        <w:rPr>
          <w:strike/>
        </w:rPr>
        <w:t xml:space="preserve">, the serial numbers, ballot titles, and public investment impact disclosures certified by the secretary of state and the serial numbers and short descriptions of measures for an advisory vote of the people</w:t>
      </w:r>
      <w:r>
        <w:t>))</w:t>
      </w:r>
      <w:r>
        <w:rPr/>
        <w:t xml:space="preserve">. They must appear under separate headings in the order of the serial numbers as follows:</w:t>
      </w:r>
    </w:p>
    <w:p>
      <w:pPr>
        <w:spacing w:before="0" w:after="0" w:line="408" w:lineRule="exact"/>
        <w:ind w:left="0" w:right="0" w:firstLine="576"/>
        <w:jc w:val="left"/>
      </w:pPr>
      <w:r>
        <w:rPr/>
        <w:t xml:space="preserve">(1) Initiatives to the people;</w:t>
      </w:r>
    </w:p>
    <w:p>
      <w:pPr>
        <w:spacing w:before="0" w:after="0" w:line="408" w:lineRule="exact"/>
        <w:ind w:left="0" w:right="0" w:firstLine="576"/>
        <w:jc w:val="left"/>
      </w:pPr>
      <w:r>
        <w:rPr/>
        <w:t xml:space="preserve">(2) Referendum measures;</w:t>
      </w:r>
    </w:p>
    <w:p>
      <w:pPr>
        <w:spacing w:before="0" w:after="0" w:line="408" w:lineRule="exact"/>
        <w:ind w:left="0" w:right="0" w:firstLine="576"/>
        <w:jc w:val="left"/>
      </w:pPr>
      <w:r>
        <w:rPr/>
        <w:t xml:space="preserve">(3) Referendum bills;</w:t>
      </w:r>
    </w:p>
    <w:p>
      <w:pPr>
        <w:spacing w:before="0" w:after="0" w:line="408" w:lineRule="exact"/>
        <w:ind w:left="0" w:right="0" w:firstLine="576"/>
        <w:jc w:val="left"/>
      </w:pPr>
      <w:r>
        <w:rPr/>
        <w:t xml:space="preserve">(4) Initiatives to the legislature;</w:t>
      </w:r>
    </w:p>
    <w:p>
      <w:pPr>
        <w:spacing w:before="0" w:after="0" w:line="408" w:lineRule="exact"/>
        <w:ind w:left="0" w:right="0" w:firstLine="576"/>
        <w:jc w:val="left"/>
      </w:pPr>
      <w:r>
        <w:rPr/>
        <w:t xml:space="preserve">(5) Initiatives to the legislature and legislative alternatives;</w:t>
      </w:r>
    </w:p>
    <w:p>
      <w:pPr>
        <w:spacing w:before="0" w:after="0" w:line="408" w:lineRule="exact"/>
        <w:ind w:left="0" w:right="0" w:firstLine="576"/>
        <w:jc w:val="left"/>
      </w:pPr>
      <w:r>
        <w:rPr/>
        <w:t xml:space="preserve">(6) </w:t>
      </w:r>
      <w:r>
        <w:t>((</w:t>
      </w:r>
      <w:r>
        <w:rPr>
          <w:strike/>
        </w:rPr>
        <w:t xml:space="preserve">Advisory votes;</w:t>
      </w:r>
    </w:p>
    <w:p>
      <w:pPr>
        <w:spacing w:before="0" w:after="0" w:line="408" w:lineRule="exact"/>
        <w:ind w:left="0" w:right="0" w:firstLine="576"/>
        <w:jc w:val="left"/>
      </w:pPr>
      <w:r>
        <w:rPr>
          <w:strike/>
        </w:rPr>
        <w:t xml:space="preserve">(7)</w:t>
      </w:r>
      <w:r>
        <w:t>))</w:t>
      </w:r>
      <w:r>
        <w:rPr/>
        <w:t xml:space="preserve"> Proposed constitutional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29A</w:t>
      </w:r>
      <w:r>
        <w:rPr/>
        <w:t xml:space="preserve">.</w:t>
      </w:r>
      <w:r>
        <w:t xml:space="preserve">72</w:t>
      </w:r>
      <w:r>
        <w:rPr/>
        <w:t xml:space="preserve">.</w:t>
      </w:r>
      <w:r>
        <w:t xml:space="preserve">283</w:t>
      </w:r>
      <w:r>
        <w:rPr/>
        <w:t xml:space="preserve"> (Advisory vote on tax legislation</w:t>
      </w:r>
      <w:r>
        <w:rPr>
          <w:rFonts w:ascii="Times New Roman" w:hAnsi="Times New Roman"/>
        </w:rPr>
        <w:t xml:space="preserve">—</w:t>
      </w:r>
      <w:r>
        <w:rPr/>
        <w:t xml:space="preserve">Short description) and 2008 c 1 s 8;</w:t>
      </w:r>
    </w:p>
    <w:p>
      <w:pPr>
        <w:spacing w:before="0" w:after="0" w:line="408" w:lineRule="exact"/>
        <w:ind w:left="0" w:right="0" w:firstLine="576"/>
        <w:jc w:val="left"/>
      </w:pPr>
      <w:r>
        <w:t xml:space="preserve">(2) </w:t>
      </w:r>
      <w:r>
        <w:rPr/>
        <w:t xml:space="preserve">RCW </w:t>
      </w:r>
      <w:r>
        <w:t xml:space="preserve">29A</w:t>
      </w:r>
      <w:r>
        <w:rPr/>
        <w:t xml:space="preserve">.</w:t>
      </w:r>
      <w:r>
        <w:t xml:space="preserve">72</w:t>
      </w:r>
      <w:r>
        <w:rPr/>
        <w:t xml:space="preserve">.</w:t>
      </w:r>
      <w:r>
        <w:t xml:space="preserve">285</w:t>
      </w:r>
      <w:r>
        <w:rPr/>
        <w:t xml:space="preserve"> (Advisory vote on tax legislation</w:t>
      </w:r>
      <w:r>
        <w:rPr>
          <w:rFonts w:ascii="Times New Roman" w:hAnsi="Times New Roman"/>
        </w:rPr>
        <w:t xml:space="preserve">—</w:t>
      </w:r>
      <w:r>
        <w:rPr/>
        <w:t xml:space="preserve">Short description filing and transmittal) and 2008 c 1 s 9; and</w:t>
      </w:r>
    </w:p>
    <w:p>
      <w:pPr>
        <w:spacing w:before="0" w:after="0" w:line="408" w:lineRule="exact"/>
        <w:ind w:left="0" w:right="0" w:firstLine="576"/>
        <w:jc w:val="left"/>
      </w:pPr>
      <w:r>
        <w:t xml:space="preserve">(3) </w:t>
      </w:r>
      <w:r>
        <w:rPr/>
        <w:t xml:space="preserve">RCW </w:t>
      </w:r>
      <w:r>
        <w:t xml:space="preserve">43</w:t>
      </w:r>
      <w:r>
        <w:rPr/>
        <w:t xml:space="preserve">.</w:t>
      </w:r>
      <w:r>
        <w:t xml:space="preserve">135</w:t>
      </w:r>
      <w:r>
        <w:rPr/>
        <w:t xml:space="preserve">.</w:t>
      </w:r>
      <w:r>
        <w:t xml:space="preserve">041</w:t>
      </w:r>
      <w:r>
        <w:rPr/>
        <w:t xml:space="preserve"> (Tax legislation</w:t>
      </w:r>
      <w:r>
        <w:rPr>
          <w:rFonts w:ascii="Times New Roman" w:hAnsi="Times New Roman"/>
        </w:rPr>
        <w:t xml:space="preserve">—</w:t>
      </w:r>
      <w:r>
        <w:rPr/>
        <w:t xml:space="preserve">Advisory vote</w:t>
      </w:r>
      <w:r>
        <w:rPr>
          <w:rFonts w:ascii="Times New Roman" w:hAnsi="Times New Roman"/>
        </w:rPr>
        <w:t xml:space="preserve">—</w:t>
      </w:r>
      <w:r>
        <w:rPr/>
        <w:t xml:space="preserve">Duties of the attorney general and secretary of state</w:t>
      </w:r>
      <w:r>
        <w:rPr>
          <w:rFonts w:ascii="Times New Roman" w:hAnsi="Times New Roman"/>
        </w:rPr>
        <w:t xml:space="preserve">—</w:t>
      </w:r>
      <w:r>
        <w:rPr/>
        <w:t xml:space="preserve">Exemption) and 2016 c 1 s 5, 2013 c 1 s 6, 2010 c 4 s 3, &amp; 2008 c 1 s 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INFORMATION REGARDING STATE TAX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2020 c 208 s 11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w:t>
      </w:r>
      <w:r>
        <w:t>((</w:t>
      </w:r>
      <w:r>
        <w:rPr>
          <w:strike/>
        </w:rPr>
        <w:t xml:space="preserve">each measure for an advisory vote of the people and</w:t>
      </w:r>
      <w:r>
        <w:t>))</w:t>
      </w:r>
      <w:r>
        <w:rPr/>
        <w:t xml:space="preserve">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 </w:t>
      </w:r>
      <w:r>
        <w:t>((</w:t>
      </w:r>
      <w:r>
        <w:rPr>
          <w:strike/>
        </w:rPr>
        <w:t xml:space="preserve">and</w:t>
      </w:r>
      <w:r>
        <w:t>))</w:t>
      </w:r>
    </w:p>
    <w:p>
      <w:pPr>
        <w:spacing w:before="0" w:after="0" w:line="408" w:lineRule="exact"/>
        <w:ind w:left="0" w:right="0" w:firstLine="576"/>
        <w:jc w:val="left"/>
      </w:pPr>
      <w:r>
        <w:rPr/>
        <w:t xml:space="preserve">(8) </w:t>
      </w:r>
      <w:r>
        <w:rPr>
          <w:u w:val="single"/>
        </w:rPr>
        <w:t xml:space="preserve">(a) In even-numbered years, a summary of 300 words or less of each of the following:</w:t>
      </w:r>
    </w:p>
    <w:p>
      <w:pPr>
        <w:spacing w:before="0" w:after="0" w:line="408" w:lineRule="exact"/>
        <w:ind w:left="0" w:right="0" w:firstLine="576"/>
        <w:jc w:val="left"/>
      </w:pPr>
      <w:r>
        <w:rPr>
          <w:u w:val="single"/>
        </w:rPr>
        <w:t xml:space="preserve">(i) The adopted operating budget and supplemental operating budget;</w:t>
      </w:r>
    </w:p>
    <w:p>
      <w:pPr>
        <w:spacing w:before="0" w:after="0" w:line="408" w:lineRule="exact"/>
        <w:ind w:left="0" w:right="0" w:firstLine="576"/>
        <w:jc w:val="left"/>
      </w:pPr>
      <w:r>
        <w:rPr>
          <w:u w:val="single"/>
        </w:rPr>
        <w:t xml:space="preserve">(ii) The adopted capital budget and supplemental capital budget; and</w:t>
      </w:r>
    </w:p>
    <w:p>
      <w:pPr>
        <w:spacing w:before="0" w:after="0" w:line="408" w:lineRule="exact"/>
        <w:ind w:left="0" w:right="0" w:firstLine="576"/>
        <w:jc w:val="left"/>
      </w:pPr>
      <w:r>
        <w:rPr>
          <w:u w:val="single"/>
        </w:rPr>
        <w:t xml:space="preserve">(iii) The adopted transportation budget and supplemental transportation budget;</w:t>
      </w:r>
    </w:p>
    <w:p>
      <w:pPr>
        <w:spacing w:before="0" w:after="0" w:line="408" w:lineRule="exact"/>
        <w:ind w:left="0" w:right="0" w:firstLine="576"/>
        <w:jc w:val="left"/>
      </w:pPr>
      <w:r>
        <w:rPr>
          <w:u w:val="single"/>
        </w:rPr>
        <w:t xml:space="preserve">(b) Every summary required by (a) of this subsection must describe the major sources of revenue for that budget, categorize the expenditures by amount in decreasing order, and additionally include:</w:t>
      </w:r>
    </w:p>
    <w:p>
      <w:pPr>
        <w:spacing w:before="0" w:after="0" w:line="408" w:lineRule="exact"/>
        <w:ind w:left="0" w:right="0" w:firstLine="576"/>
        <w:jc w:val="left"/>
      </w:pPr>
      <w:r>
        <w:rPr>
          <w:u w:val="single"/>
        </w:rPr>
        <w:t xml:space="preserve">(i) The numbers of each bill that was part of the budget for that session;</w:t>
      </w:r>
    </w:p>
    <w:p>
      <w:pPr>
        <w:spacing w:before="0" w:after="0" w:line="408" w:lineRule="exact"/>
        <w:ind w:left="0" w:right="0" w:firstLine="576"/>
        <w:jc w:val="left"/>
      </w:pPr>
      <w:r>
        <w:rPr>
          <w:u w:val="single"/>
        </w:rPr>
        <w:t xml:space="preserve">(ii) Access information for each bill on the official legislative website;</w:t>
      </w:r>
    </w:p>
    <w:p>
      <w:pPr>
        <w:spacing w:before="0" w:after="0" w:line="408" w:lineRule="exact"/>
        <w:ind w:left="0" w:right="0" w:firstLine="576"/>
        <w:jc w:val="left"/>
      </w:pPr>
      <w:r>
        <w:rPr>
          <w:u w:val="single"/>
        </w:rPr>
        <w:t xml:space="preserve">(iii) The date that each bill was approved with brief instructions on how to locate roll call votes online; and</w:t>
      </w:r>
    </w:p>
    <w:p>
      <w:pPr>
        <w:spacing w:before="0" w:after="0" w:line="408" w:lineRule="exact"/>
        <w:ind w:left="0" w:right="0" w:firstLine="576"/>
        <w:jc w:val="left"/>
      </w:pPr>
      <w:r>
        <w:rPr>
          <w:u w:val="single"/>
        </w:rPr>
        <w:t xml:space="preserve">(iv) The number of votes cast for and against each bill</w:t>
      </w:r>
      <w:r>
        <w:rPr>
          <w:u w:val="single"/>
        </w:rPr>
        <w:t xml:space="preserve">;</w:t>
      </w:r>
    </w:p>
    <w:p>
      <w:pPr>
        <w:spacing w:before="0" w:after="0" w:line="408" w:lineRule="exact"/>
        <w:ind w:left="0" w:right="0" w:firstLine="576"/>
        <w:jc w:val="left"/>
      </w:pPr>
      <w:r>
        <w:rPr>
          <w:u w:val="single"/>
        </w:rPr>
        <w:t xml:space="preserve">(9) In even-numbered years, a pie chart prepared by the legislative evaluation and accountability program showing total budgeted funds for the state operating budget by functional areas of government for the most recent biennium;</w:t>
      </w:r>
    </w:p>
    <w:p>
      <w:pPr>
        <w:spacing w:before="0" w:after="0" w:line="408" w:lineRule="exact"/>
        <w:ind w:left="0" w:right="0" w:firstLine="576"/>
        <w:jc w:val="left"/>
      </w:pPr>
      <w:r>
        <w:rPr>
          <w:u w:val="single"/>
        </w:rPr>
        <w:t xml:space="preserve">(10) In even-numbered years:</w:t>
      </w:r>
    </w:p>
    <w:p>
      <w:pPr>
        <w:spacing w:before="0" w:after="0" w:line="408" w:lineRule="exact"/>
        <w:ind w:left="0" w:right="0" w:firstLine="576"/>
        <w:jc w:val="left"/>
      </w:pPr>
      <w:r>
        <w:rPr>
          <w:u w:val="single"/>
        </w:rPr>
        <w:t xml:space="preserve">(a) Tables provided by the office of financial management comparing state and local expenditures per $1,000 of personal income from the most recent fiscal year available to each fiscal year going back 20 years, to be included with the information required under subsections (8) and (9) of this section; and</w:t>
      </w:r>
    </w:p>
    <w:p>
      <w:pPr>
        <w:spacing w:before="0" w:after="0" w:line="408" w:lineRule="exact"/>
        <w:ind w:left="0" w:right="0" w:firstLine="576"/>
        <w:jc w:val="left"/>
      </w:pPr>
      <w:r>
        <w:rPr>
          <w:u w:val="single"/>
        </w:rPr>
        <w:t xml:space="preserve">(b) An explanation not to exceed 100 words of what is measured in (a) of this subsection;</w:t>
      </w:r>
    </w:p>
    <w:p>
      <w:pPr>
        <w:spacing w:before="0" w:after="0" w:line="408" w:lineRule="exact"/>
        <w:ind w:left="0" w:right="0" w:firstLine="576"/>
        <w:jc w:val="left"/>
      </w:pPr>
      <w:r>
        <w:rPr>
          <w:u w:val="single"/>
        </w:rPr>
        <w:t xml:space="preserve">(11) In even-numbered years, instructions for voters on how to locate fiscal impact statements prepared under section 9 of this act; and</w:t>
      </w:r>
    </w:p>
    <w:p>
      <w:pPr>
        <w:spacing w:before="0" w:after="0" w:line="408" w:lineRule="exact"/>
        <w:ind w:left="0" w:right="0" w:firstLine="576"/>
        <w:jc w:val="left"/>
      </w:pPr>
      <w:r>
        <w:rPr>
          <w:u w:val="single"/>
        </w:rPr>
        <w:t xml:space="preserve">(12)</w:t>
      </w:r>
      <w:r>
        <w:rPr/>
        <w:t xml:space="preserve">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office of financial management, in consultation with the secretary of state, the attorney general, and any other appropriate state or local agency, shall prepare a fiscal impact statement for each bill enacted since the previous election that increases or decreases state tax revenue deposited in any fund, budget, or account, regardless of whether the revenues are deposited in the general fund. Fiscal impact statements must be written in clear and concise language, avoid legal and technical terms when possible, and be filed with the secretary of state no later than the 23rd day of July. Fiscal impact statements may include easily understood graphics.</w:t>
      </w:r>
    </w:p>
    <w:p>
      <w:pPr>
        <w:spacing w:before="0" w:after="0" w:line="408" w:lineRule="exact"/>
        <w:ind w:left="0" w:right="0" w:firstLine="576"/>
        <w:jc w:val="left"/>
      </w:pPr>
      <w:r>
        <w:rPr/>
        <w:t xml:space="preserve">(2) A fiscal impact statement must describe any projected increase or decrease in revenues, costs, expenditures, or indebtedness that the state or local governments will experience. Where appropriate, a fiscal impact statement may include both estimated dollar amounts and a description placing the estimated dollar amounts into context. A fiscal impact statement must include a summary not to exceed 250 words, and a more detailed statement that includes the assumptions that were made to develop the fiscal impacts.</w:t>
      </w:r>
    </w:p>
    <w:p>
      <w:pPr>
        <w:spacing w:before="0" w:after="0" w:line="408" w:lineRule="exact"/>
        <w:ind w:left="0" w:right="0" w:firstLine="576"/>
        <w:jc w:val="left"/>
      </w:pPr>
      <w:r>
        <w:rPr/>
        <w:t xml:space="preserve">(3) Fiscal impact statements must be available online from the website of the office of financial management, grouped by biennium, and must also be accessible through a link on the front page of the legislative website. Additional information may be posted on the website of the office of financial management.</w:t>
      </w:r>
    </w:p>
    <w:p/>
    <w:p>
      <w:pPr>
        <w:jc w:val="center"/>
      </w:pPr>
      <w:r>
        <w:rPr>
          <w:b/>
        </w:rPr>
        <w:t>--- END ---</w:t>
      </w:r>
    </w:p>
    <w:sectPr>
      <w:pgNumType w:start="1"/>
      <w:footerReference xmlns:r="http://schemas.openxmlformats.org/officeDocument/2006/relationships" r:id="R6f7a25542c7641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d1da52518243e9" /><Relationship Type="http://schemas.openxmlformats.org/officeDocument/2006/relationships/footer" Target="/word/footer1.xml" Id="R6f7a25542c764109" /></Relationships>
</file>