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a296a634d64f91" /></Relationships>
</file>

<file path=word/document.xml><?xml version="1.0" encoding="utf-8"?>
<w:document xmlns:w="http://schemas.openxmlformats.org/wordprocessingml/2006/main">
  <w:body>
    <w:p>
      <w:r>
        <w:t>S-0100.1</w:t>
      </w:r>
    </w:p>
    <w:p>
      <w:pPr>
        <w:jc w:val="center"/>
      </w:pPr>
      <w:r>
        <w:t>_______________________________________________</w:t>
      </w:r>
    </w:p>
    <w:p/>
    <w:p>
      <w:pPr>
        <w:jc w:val="center"/>
      </w:pPr>
      <w:r>
        <w:rPr>
          <w:b/>
        </w:rPr>
        <w:t>SENATE BILL 5101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Warnick, Dhingra, Kuderer, Nguyen, Nobles, Shewmake, and C. Wilson</w:t>
      </w:r>
    </w:p>
    <w:p/>
    <w:p>
      <w:r>
        <w:rPr>
          <w:t xml:space="preserve">Prefiled 12/27/22.</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extraordinary medical placement for incarcerated individuals at the department of corrections; and reenacting and amending RCW 9.94A.728.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w:t>
      </w:r>
      <w:r>
        <w:t>((</w:t>
      </w:r>
      <w:r>
        <w:rPr>
          <w:strike/>
        </w:rPr>
        <w:t xml:space="preserve">person</w:t>
      </w:r>
      <w:r>
        <w:t>))</w:t>
      </w:r>
      <w:r>
        <w:rPr/>
        <w:t xml:space="preserve"> </w:t>
      </w:r>
      <w:r>
        <w:rPr>
          <w:u w:val="single"/>
        </w:rPr>
        <w:t xml:space="preserve">incarcerated individual</w:t>
      </w:r>
      <w:r>
        <w:rPr/>
        <w:t xml:space="preserve">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w:t>
      </w:r>
      <w:r>
        <w:t>((</w:t>
      </w:r>
      <w:r>
        <w:rPr>
          <w:strike/>
        </w:rPr>
        <w:t xml:space="preserve">offender</w:t>
      </w:r>
      <w:r>
        <w:t>))</w:t>
      </w:r>
      <w:r>
        <w:rPr/>
        <w:t xml:space="preserve"> </w:t>
      </w:r>
      <w:r>
        <w:rPr>
          <w:u w:val="single"/>
        </w:rPr>
        <w:t xml:space="preserve">incarcerated individual</w:t>
      </w:r>
      <w:r>
        <w:rPr/>
        <w:t xml:space="preserve"> may earn early release time as authorized by RCW 9.94A.729;</w:t>
      </w:r>
    </w:p>
    <w:p>
      <w:pPr>
        <w:spacing w:before="0" w:after="0" w:line="408" w:lineRule="exact"/>
        <w:ind w:left="0" w:right="0" w:firstLine="576"/>
        <w:jc w:val="left"/>
      </w:pPr>
      <w:r>
        <w:rPr/>
        <w:t xml:space="preserve">(b) An </w:t>
      </w:r>
      <w:r>
        <w:t>((</w:t>
      </w:r>
      <w:r>
        <w:rPr>
          <w:strike/>
        </w:rPr>
        <w:t xml:space="preserve">offender</w:t>
      </w:r>
      <w:r>
        <w:t>))</w:t>
      </w:r>
      <w:r>
        <w:rPr/>
        <w:t xml:space="preserve"> </w:t>
      </w:r>
      <w:r>
        <w:rPr>
          <w:u w:val="single"/>
        </w:rPr>
        <w:t xml:space="preserve">incarcerated individual</w:t>
      </w:r>
      <w:r>
        <w:rPr/>
        <w:t xml:space="preserve"> may leave a correctional facility pursuant to an authorized furlough or leave of absence. In addition, </w:t>
      </w:r>
      <w:r>
        <w:t>((</w:t>
      </w:r>
      <w:r>
        <w:rPr>
          <w:strike/>
        </w:rPr>
        <w:t xml:space="preserve">offenders</w:t>
      </w:r>
      <w:r>
        <w:t>))</w:t>
      </w:r>
      <w:r>
        <w:rPr/>
        <w:t xml:space="preserve"> </w:t>
      </w:r>
      <w:r>
        <w:rPr>
          <w:u w:val="single"/>
        </w:rPr>
        <w:t xml:space="preserve">incarcerated individuals</w:t>
      </w:r>
      <w:r>
        <w:rPr/>
        <w:t xml:space="preserve">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w:t>
      </w:r>
      <w:r>
        <w:t>((</w:t>
      </w:r>
      <w:r>
        <w:rPr>
          <w:strike/>
        </w:rPr>
        <w:t xml:space="preserve">offender</w:t>
      </w:r>
      <w:r>
        <w:t>))</w:t>
      </w:r>
      <w:r>
        <w:rPr/>
        <w:t xml:space="preserve"> </w:t>
      </w:r>
      <w:r>
        <w:rPr>
          <w:u w:val="single"/>
        </w:rPr>
        <w:t xml:space="preserve">incarcerated individual</w:t>
      </w:r>
      <w:r>
        <w:rPr/>
        <w:t xml:space="preserve">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has a medical condition that is </w:t>
      </w:r>
      <w:r>
        <w:rPr>
          <w:u w:val="single"/>
        </w:rPr>
        <w:t xml:space="preserve">chronic or</w:t>
      </w:r>
      <w:r>
        <w:rPr/>
        <w:t xml:space="preserve"> serious and is expected to require costly care or treatment;</w:t>
      </w:r>
    </w:p>
    <w:p>
      <w:pPr>
        <w:spacing w:before="0" w:after="0" w:line="408" w:lineRule="exact"/>
        <w:ind w:left="0" w:right="0" w:firstLine="576"/>
        <w:jc w:val="left"/>
      </w:pPr>
      <w:r>
        <w:rPr/>
        <w:t xml:space="preserve">(B) The </w:t>
      </w:r>
      <w:r>
        <w:t>((</w:t>
      </w:r>
      <w:r>
        <w:rPr>
          <w:strike/>
        </w:rPr>
        <w:t xml:space="preserve">offender poses a</w:t>
      </w:r>
      <w:r>
        <w:t>))</w:t>
      </w:r>
      <w:r>
        <w:rPr/>
        <w:t xml:space="preserve"> </w:t>
      </w:r>
      <w:r>
        <w:rPr>
          <w:u w:val="single"/>
        </w:rPr>
        <w:t xml:space="preserve">incarcerated individual has been assessed as</w:t>
      </w:r>
      <w:r>
        <w:rPr/>
        <w:t xml:space="preserve"> low risk to the community </w:t>
      </w:r>
      <w:r>
        <w:t>((</w:t>
      </w:r>
      <w:r>
        <w:rPr>
          <w:strike/>
        </w:rPr>
        <w:t xml:space="preserve">because he or she is currently physically incapacitated due to age or the medical condition or is expected to be so</w:t>
      </w:r>
      <w:r>
        <w:t>))</w:t>
      </w:r>
      <w:r>
        <w:rPr/>
        <w:t xml:space="preserve">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w:t>
      </w:r>
      <w:r>
        <w:t>((</w:t>
      </w:r>
      <w:r>
        <w:rPr>
          <w:strike/>
        </w:rPr>
        <w:t xml:space="preserve">offender</w:t>
      </w:r>
      <w:r>
        <w:t>))</w:t>
      </w:r>
      <w:r>
        <w:rPr/>
        <w:t xml:space="preserve"> </w:t>
      </w:r>
      <w:r>
        <w:rPr>
          <w:u w:val="single"/>
        </w:rPr>
        <w:t xml:space="preserve">incarcerated individual</w:t>
      </w:r>
      <w:r>
        <w:rPr/>
        <w:t xml:space="preserve">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w:t>
      </w:r>
      <w:r>
        <w:t>((</w:t>
      </w:r>
      <w:r>
        <w:rPr>
          <w:strike/>
        </w:rPr>
        <w:t xml:space="preserve">offenders</w:t>
      </w:r>
      <w:r>
        <w:t>))</w:t>
      </w:r>
      <w:r>
        <w:rPr/>
        <w:t xml:space="preserve"> </w:t>
      </w:r>
      <w:r>
        <w:rPr>
          <w:u w:val="single"/>
        </w:rPr>
        <w:t xml:space="preserve">individuals</w:t>
      </w:r>
      <w:r>
        <w:rPr/>
        <w:t xml:space="preserve"> in extraordinary medical placement unless the electronic monitoring equipment </w:t>
      </w:r>
      <w:r>
        <w:rPr>
          <w:u w:val="single"/>
        </w:rPr>
        <w:t xml:space="preserve">is detrimental to the individual's health,</w:t>
      </w:r>
      <w:r>
        <w:rPr/>
        <w:t xml:space="preserve"> interferes with the function of the </w:t>
      </w:r>
      <w:r>
        <w:t>((</w:t>
      </w:r>
      <w:r>
        <w:rPr>
          <w:strike/>
        </w:rPr>
        <w:t xml:space="preserve">offender's</w:t>
      </w:r>
      <w:r>
        <w:t>))</w:t>
      </w:r>
      <w:r>
        <w:rPr/>
        <w:t xml:space="preserve"> </w:t>
      </w:r>
      <w:r>
        <w:rPr>
          <w:u w:val="single"/>
        </w:rPr>
        <w:t xml:space="preserve">individual's</w:t>
      </w:r>
      <w:r>
        <w:rPr/>
        <w:t xml:space="preserve"> medical equipment</w:t>
      </w:r>
      <w:r>
        <w:rPr>
          <w:u w:val="single"/>
        </w:rPr>
        <w:t xml:space="preserve">,</w:t>
      </w:r>
      <w:r>
        <w:rPr/>
        <w:t xml:space="preserve"> or results in the loss of funding for the </w:t>
      </w:r>
      <w:r>
        <w:t>((</w:t>
      </w:r>
      <w:r>
        <w:rPr>
          <w:strike/>
        </w:rPr>
        <w:t xml:space="preserve">offender's</w:t>
      </w:r>
      <w:r>
        <w:t>))</w:t>
      </w:r>
      <w:r>
        <w:rPr/>
        <w:t xml:space="preserve"> </w:t>
      </w:r>
      <w:r>
        <w:rPr>
          <w:u w:val="single"/>
        </w:rPr>
        <w:t xml:space="preserve">individual's</w:t>
      </w:r>
      <w:r>
        <w:rPr/>
        <w:t xml:space="preserve"> medical care, in which case, an alternative type of monitoring shall be utilized. The secretary shall specify who shall provide the monitoring services and the terms under which the monitoring shall be performed. </w:t>
      </w:r>
      <w:r>
        <w:rPr>
          <w:u w:val="single"/>
        </w:rPr>
        <w:t xml:space="preserve">The requirement for electronic monitoring shall be waived if the medical condition as certified by the individual's treating physician prevents the individual from being independently mobile.</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for aiding the </w:t>
      </w:r>
      <w:r>
        <w:t>((</w:t>
      </w:r>
      <w:r>
        <w:rPr>
          <w:strike/>
        </w:rPr>
        <w:t xml:space="preserve">offender</w:t>
      </w:r>
      <w:r>
        <w:t>))</w:t>
      </w:r>
      <w:r>
        <w:rPr/>
        <w:t xml:space="preserve"> </w:t>
      </w:r>
      <w:r>
        <w:rPr>
          <w:u w:val="single"/>
        </w:rPr>
        <w:t xml:space="preserve">incarcerated individual</w:t>
      </w:r>
      <w:r>
        <w:rPr/>
        <w:t xml:space="preserve">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w:t>
      </w:r>
      <w:r>
        <w:t>((</w:t>
      </w:r>
      <w:r>
        <w:rPr>
          <w:strike/>
        </w:rPr>
        <w:t xml:space="preserve">offenders</w:t>
      </w:r>
      <w:r>
        <w:t>))</w:t>
      </w:r>
      <w:r>
        <w:rPr/>
        <w:t xml:space="preserve"> </w:t>
      </w:r>
      <w:r>
        <w:rPr>
          <w:u w:val="single"/>
        </w:rPr>
        <w:t xml:space="preserve">incarcerated individuals</w:t>
      </w:r>
      <w:r>
        <w:rPr/>
        <w:t xml:space="preserve"> under RCW 9.94A.733(1)(b), after serving at least four months in total confinement in a state correctional facility, an </w:t>
      </w:r>
      <w:r>
        <w:t>((</w:t>
      </w:r>
      <w:r>
        <w:rPr>
          <w:strike/>
        </w:rPr>
        <w:t xml:space="preserve">offender</w:t>
      </w:r>
      <w:r>
        <w:t>))</w:t>
      </w:r>
      <w:r>
        <w:rPr/>
        <w:t xml:space="preserve"> </w:t>
      </w:r>
      <w:r>
        <w:rPr>
          <w:u w:val="single"/>
        </w:rPr>
        <w:t xml:space="preserve">incarcerated individual</w:t>
      </w:r>
      <w:r>
        <w:rPr/>
        <w:t xml:space="preserve">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t xml:space="preserve">(h) The department may release an </w:t>
      </w:r>
      <w:r>
        <w:t>((</w:t>
      </w:r>
      <w:r>
        <w:rPr>
          <w:strike/>
        </w:rPr>
        <w:t xml:space="preserve">offender</w:t>
      </w:r>
      <w:r>
        <w:t>))</w:t>
      </w:r>
      <w:r>
        <w:rPr/>
        <w:t xml:space="preserve"> </w:t>
      </w:r>
      <w:r>
        <w:rPr>
          <w:u w:val="single"/>
        </w:rPr>
        <w:t xml:space="preserve">incarcerated individual</w:t>
      </w:r>
      <w:r>
        <w:rPr/>
        <w:t xml:space="preserve">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w:t>
      </w:r>
      <w:r>
        <w:t>((</w:t>
      </w:r>
      <w:r>
        <w:rPr>
          <w:strike/>
        </w:rPr>
        <w:t xml:space="preserve">offender</w:t>
      </w:r>
      <w:r>
        <w:t>))</w:t>
      </w:r>
      <w:r>
        <w:rPr/>
        <w:t xml:space="preserve"> </w:t>
      </w:r>
      <w:r>
        <w:rPr>
          <w:u w:val="single"/>
        </w:rPr>
        <w:t xml:space="preserve">incarcerated individual</w:t>
      </w:r>
      <w:r>
        <w:rPr/>
        <w:t xml:space="preserve">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w:t>
      </w:r>
      <w:r>
        <w:t>((</w:t>
      </w:r>
      <w:r>
        <w:rPr>
          <w:strike/>
        </w:rPr>
        <w:t xml:space="preserve">person</w:t>
      </w:r>
      <w:r>
        <w:t>))</w:t>
      </w:r>
      <w:r>
        <w:rPr/>
        <w:t xml:space="preserve"> </w:t>
      </w:r>
      <w:r>
        <w:rPr>
          <w:u w:val="single"/>
        </w:rPr>
        <w:t xml:space="preserve">individual</w:t>
      </w:r>
      <w:r>
        <w:rPr/>
        <w:t xml:space="preserve"> convicted of one or more crimes committed prior to the </w:t>
      </w:r>
      <w:r>
        <w:t>((</w:t>
      </w:r>
      <w:r>
        <w:rPr>
          <w:strike/>
        </w:rPr>
        <w:t xml:space="preserve">person's eighteenth</w:t>
      </w:r>
      <w:r>
        <w:t>))</w:t>
      </w:r>
      <w:r>
        <w:rPr/>
        <w:t xml:space="preserve"> </w:t>
      </w:r>
      <w:r>
        <w:rPr>
          <w:u w:val="single"/>
        </w:rPr>
        <w:t xml:space="preserve">individual's 18th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w:t>
      </w:r>
      <w:r>
        <w:t>((</w:t>
      </w:r>
      <w:r>
        <w:rPr>
          <w:strike/>
        </w:rPr>
        <w:t xml:space="preserve">offender</w:t>
      </w:r>
      <w:r>
        <w:t>))</w:t>
      </w:r>
      <w:r>
        <w:rPr/>
        <w:t xml:space="preserve"> </w:t>
      </w:r>
      <w:r>
        <w:rPr>
          <w:u w:val="single"/>
        </w:rPr>
        <w:t xml:space="preserve">incarcerated individual</w:t>
      </w:r>
      <w:r>
        <w:rPr/>
        <w:t xml:space="preserve"> entitled to vacation of a conviction or the recalculation of his or her offender score pursuant to </w:t>
      </w:r>
      <w:r>
        <w:rPr>
          <w:i/>
        </w:rPr>
        <w:t xml:space="preserve">State v. Blake</w:t>
      </w:r>
      <w:r>
        <w:rPr/>
        <w:t xml:space="preserve">, No. 96873-0 (Feb. 25, 2021), may be released from confinement pursuant to a court order if the </w:t>
      </w:r>
      <w:r>
        <w:t>((</w:t>
      </w:r>
      <w:r>
        <w:rPr>
          <w:strike/>
        </w:rPr>
        <w:t xml:space="preserve">offender</w:t>
      </w:r>
      <w:r>
        <w:t>))</w:t>
      </w:r>
      <w:r>
        <w:rPr/>
        <w:t xml:space="preserve"> </w:t>
      </w:r>
      <w:r>
        <w:rPr>
          <w:u w:val="single"/>
        </w:rPr>
        <w:t xml:space="preserve">incarcerated individual</w:t>
      </w:r>
      <w:r>
        <w:rPr/>
        <w:t xml:space="preserve">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w:t>
      </w:r>
      <w:r>
        <w:t>((</w:t>
      </w:r>
      <w:r>
        <w:rPr>
          <w:strike/>
        </w:rPr>
        <w:t xml:space="preserve">Offenders</w:t>
      </w:r>
      <w:r>
        <w:t>))</w:t>
      </w:r>
      <w:r>
        <w:rPr/>
        <w:t xml:space="preserve"> </w:t>
      </w:r>
      <w:r>
        <w:rPr>
          <w:u w:val="single"/>
        </w:rPr>
        <w:t xml:space="preserve">Individuals</w:t>
      </w:r>
      <w:r>
        <w:rPr/>
        <w:t xml:space="preserve"> residing in a juvenile correctional facility placement pursuant to RCW 72.01.410(1)(a) are not subject to the limitations in this section.</w:t>
      </w:r>
    </w:p>
    <w:p/>
    <w:p>
      <w:pPr>
        <w:jc w:val="center"/>
      </w:pPr>
      <w:r>
        <w:rPr>
          <w:b/>
        </w:rPr>
        <w:t>--- END ---</w:t>
      </w:r>
    </w:p>
    <w:sectPr>
      <w:pgNumType w:start="1"/>
      <w:footerReference xmlns:r="http://schemas.openxmlformats.org/officeDocument/2006/relationships" r:id="R44ab170f739e48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8ca5f0e5c44bdd" /><Relationship Type="http://schemas.openxmlformats.org/officeDocument/2006/relationships/footer" Target="/word/footer1.xml" Id="R44ab170f739e48fb" /></Relationships>
</file>