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ec812b79c644fa" /></Relationships>
</file>

<file path=word/document.xml><?xml version="1.0" encoding="utf-8"?>
<w:document xmlns:w="http://schemas.openxmlformats.org/wordprocessingml/2006/main">
  <w:body>
    <w:p>
      <w:r>
        <w:t>S-0366.1</w:t>
      </w:r>
    </w:p>
    <w:p>
      <w:pPr>
        <w:jc w:val="center"/>
      </w:pPr>
      <w:r>
        <w:t>_______________________________________________</w:t>
      </w:r>
    </w:p>
    <w:p/>
    <w:p>
      <w:pPr>
        <w:jc w:val="center"/>
      </w:pPr>
      <w:r>
        <w:rPr>
          <w:b/>
        </w:rPr>
        <w:t>SENATE BILL 5103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Muzzall, Cleveland, and Rivers</w:t>
      </w:r>
    </w:p>
    <w:p/>
    <w:p>
      <w:r>
        <w:rPr>
          <w:t xml:space="preserve">Prefiled 12/28/22.</w:t>
        </w:rPr>
      </w:r>
      <w:r>
        <w:rPr>
          <w:t xml:space="preserve">Read first time 01/09/23.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payment to acute care hospitals for difficult to discharge medicaid patients who do not need acute care but who are waiting in the hospital to be appropriately and timely discharged to postacute and community settings; and amending RCW 74.09.520.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2022 c 255 s 4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the department, the department shall contract with area agencies on aging or may contract with a federally recognized Indian tribe under RCW 74.39A.090(3):</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or federally recognized Indian tribe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t xml:space="preserve">(9) Subject to the availability of amounts appropriated for this specific purpose, effective January 1, 2018, the authority shall require provider payment for annual depression screening for youth ages twelve through eighteen as recommended by the bright futures guidelines of the American academy of pediatrics, as they existed on January 1, 2017. Providers may include, but are not limited to, primary care providers, public health nurses, and other providers in a clinical setting. This requirement is subject to the availability of funds appropriated for this specific purpose.</w:t>
      </w:r>
    </w:p>
    <w:p>
      <w:pPr>
        <w:spacing w:before="0" w:after="0" w:line="408" w:lineRule="exact"/>
        <w:ind w:left="0" w:right="0" w:firstLine="576"/>
        <w:jc w:val="left"/>
      </w:pPr>
      <w:r>
        <w:rPr/>
        <w:t xml:space="preserve">(10) Subject to the availability of amounts appropriated for this specific purpose, effective January 1, 2018, the authority shall require provider payment for maternal depression screening for mothers of children ages birth to six months. This requirement is subject to the availability of funds appropriated for this specific purpose.</w:t>
      </w:r>
    </w:p>
    <w:p>
      <w:pPr>
        <w:spacing w:before="0" w:after="0" w:line="408" w:lineRule="exact"/>
        <w:ind w:left="0" w:right="0" w:firstLine="576"/>
        <w:jc w:val="left"/>
      </w:pPr>
      <w:r>
        <w:rPr/>
        <w:t xml:space="preserve">(11) Subject to the availability of amounts appropriated for this specific purpose, the authority shall:</w:t>
      </w:r>
    </w:p>
    <w:p>
      <w:pPr>
        <w:spacing w:before="0" w:after="0" w:line="408" w:lineRule="exact"/>
        <w:ind w:left="0" w:right="0" w:firstLine="576"/>
        <w:jc w:val="left"/>
      </w:pPr>
      <w:r>
        <w:rPr/>
        <w:t xml:space="preserve">(a) Allow otherwise eligible reimbursement for the following related to mental health assessment and diagnosis of children from birth through five years of age:</w:t>
      </w:r>
    </w:p>
    <w:p>
      <w:pPr>
        <w:spacing w:before="0" w:after="0" w:line="408" w:lineRule="exact"/>
        <w:ind w:left="0" w:right="0" w:firstLine="576"/>
        <w:jc w:val="left"/>
      </w:pPr>
      <w:r>
        <w:rPr/>
        <w:t xml:space="preserve">(i) Up to five sessions for purposes of intake and assessment, if necessary;</w:t>
      </w:r>
    </w:p>
    <w:p>
      <w:pPr>
        <w:spacing w:before="0" w:after="0" w:line="408" w:lineRule="exact"/>
        <w:ind w:left="0" w:right="0" w:firstLine="576"/>
        <w:jc w:val="left"/>
      </w:pPr>
      <w:r>
        <w:rPr/>
        <w:t xml:space="preserve">(ii) Assessments in home or community settings, including reimbursement for provider travel; and</w:t>
      </w:r>
    </w:p>
    <w:p>
      <w:pPr>
        <w:spacing w:before="0" w:after="0" w:line="408" w:lineRule="exact"/>
        <w:ind w:left="0" w:right="0" w:firstLine="576"/>
        <w:jc w:val="left"/>
      </w:pPr>
      <w:r>
        <w:rPr/>
        <w:t xml:space="preserve">(b) Require providers to use the current version of the DC:0-5 diagnostic classification system for mental health assessment and diagnosis of children from birth through five years of age.</w:t>
      </w:r>
    </w:p>
    <w:p>
      <w:pPr>
        <w:spacing w:before="0" w:after="0" w:line="408" w:lineRule="exact"/>
        <w:ind w:left="0" w:right="0" w:firstLine="576"/>
        <w:jc w:val="left"/>
      </w:pPr>
      <w:r>
        <w:rPr>
          <w:u w:val="single"/>
        </w:rPr>
        <w:t xml:space="preserve">(12)(a) Subject to the availability of amounts appropriated for this specific purpose, the authority and department shall</w:t>
      </w:r>
      <w:r>
        <w:rPr>
          <w:u w:val="single"/>
        </w:rPr>
        <w:t xml:space="preserve"> require or provide payment to the hospital for any day of a hospital stay in which a patient enrolled in medical assistance, including home and community services, under this chapter:</w:t>
      </w:r>
    </w:p>
    <w:p>
      <w:pPr>
        <w:spacing w:before="0" w:after="0" w:line="408" w:lineRule="exact"/>
        <w:ind w:left="0" w:right="0" w:firstLine="576"/>
        <w:jc w:val="left"/>
      </w:pPr>
      <w:r>
        <w:rPr>
          <w:u w:val="single"/>
        </w:rPr>
        <w:t xml:space="preserve">(i) Does not meet the criteria for acute inpatient level of care as defined by the authority;</w:t>
      </w:r>
    </w:p>
    <w:p>
      <w:pPr>
        <w:spacing w:before="0" w:after="0" w:line="408" w:lineRule="exact"/>
        <w:ind w:left="0" w:right="0" w:firstLine="576"/>
        <w:jc w:val="left"/>
      </w:pPr>
      <w:r>
        <w:rPr>
          <w:u w:val="single"/>
        </w:rPr>
        <w:t xml:space="preserve">(ii) Meets the criteria for placement, as defined by the authority or department, in:</w:t>
      </w:r>
    </w:p>
    <w:p>
      <w:pPr>
        <w:spacing w:before="0" w:after="0" w:line="408" w:lineRule="exact"/>
        <w:ind w:left="0" w:right="0" w:firstLine="576"/>
        <w:jc w:val="left"/>
      </w:pPr>
      <w:r>
        <w:rPr>
          <w:u w:val="single"/>
        </w:rPr>
        <w:t xml:space="preserve">(A) A nursing home licensed under chapter 18.51 RCW;</w:t>
      </w:r>
    </w:p>
    <w:p>
      <w:pPr>
        <w:spacing w:before="0" w:after="0" w:line="408" w:lineRule="exact"/>
        <w:ind w:left="0" w:right="0" w:firstLine="576"/>
        <w:jc w:val="left"/>
      </w:pPr>
      <w:r>
        <w:rPr>
          <w:u w:val="single"/>
        </w:rPr>
        <w:t xml:space="preserve">(B) An assisted living facility licensed under chapter 18.20 RCW;</w:t>
      </w:r>
    </w:p>
    <w:p>
      <w:pPr>
        <w:spacing w:before="0" w:after="0" w:line="408" w:lineRule="exact"/>
        <w:ind w:left="0" w:right="0" w:firstLine="576"/>
        <w:jc w:val="left"/>
      </w:pPr>
      <w:r>
        <w:rPr>
          <w:u w:val="single"/>
        </w:rPr>
        <w:t xml:space="preserve">(C) An adult family home licensed under chapter 70.128 RCW; or</w:t>
      </w:r>
    </w:p>
    <w:p>
      <w:pPr>
        <w:spacing w:before="0" w:after="0" w:line="408" w:lineRule="exact"/>
        <w:ind w:left="0" w:right="0" w:firstLine="576"/>
        <w:jc w:val="left"/>
      </w:pPr>
      <w:r>
        <w:rPr>
          <w:u w:val="single"/>
        </w:rPr>
        <w:t xml:space="preserve">(D) A setting in which residential services are provided or funded by the developmental disabilities administration of the department, including supported living as defined in RCW 71A.10.020; and</w:t>
      </w:r>
    </w:p>
    <w:p>
      <w:pPr>
        <w:spacing w:before="0" w:after="0" w:line="408" w:lineRule="exact"/>
        <w:ind w:left="0" w:right="0" w:firstLine="576"/>
        <w:jc w:val="left"/>
      </w:pPr>
      <w:r>
        <w:rPr>
          <w:u w:val="single"/>
        </w:rPr>
        <w:t xml:space="preserve">(iii) Is not discharged from the hospital because placement in the appropriate facility described in (a)(ii) of this subsection is not available.</w:t>
      </w:r>
    </w:p>
    <w:p>
      <w:pPr>
        <w:spacing w:before="0" w:after="0" w:line="408" w:lineRule="exact"/>
        <w:ind w:left="0" w:right="0" w:firstLine="576"/>
        <w:jc w:val="left"/>
      </w:pPr>
      <w:r>
        <w:rPr>
          <w:u w:val="single"/>
        </w:rPr>
        <w:t xml:space="preserve">(b) Payment for any stay that meets the criteria described in (a) of this subsection shall equal at least 70 percent of the direct costs incurred by the hospital for that stay, as certified and documented by the hospital and calculated by the authority.</w:t>
      </w:r>
    </w:p>
    <w:p>
      <w:pPr>
        <w:spacing w:before="0" w:after="0" w:line="408" w:lineRule="exact"/>
        <w:ind w:left="0" w:right="0" w:firstLine="576"/>
        <w:jc w:val="left"/>
      </w:pPr>
      <w:r>
        <w:rPr>
          <w:u w:val="single"/>
        </w:rPr>
        <w:t xml:space="preserve">(c) The authority and department shall adopt, amend, or rescind such administrative rules as necessary to facilitate calculation and payment of the amounts described in this subsection.</w:t>
      </w:r>
    </w:p>
    <w:p/>
    <w:p>
      <w:pPr>
        <w:jc w:val="center"/>
      </w:pPr>
      <w:r>
        <w:rPr>
          <w:b/>
        </w:rPr>
        <w:t>--- END ---</w:t>
      </w:r>
    </w:p>
    <w:sectPr>
      <w:pgNumType w:start="1"/>
      <w:footerReference xmlns:r="http://schemas.openxmlformats.org/officeDocument/2006/relationships" r:id="R3b2cd1d8728b43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010e1c1ba744b4" /><Relationship Type="http://schemas.openxmlformats.org/officeDocument/2006/relationships/footer" Target="/word/footer1.xml" Id="R3b2cd1d8728b43f4" /></Relationships>
</file>