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f6dd62ce5407a" /></Relationships>
</file>

<file path=word/document.xml><?xml version="1.0" encoding="utf-8"?>
<w:document xmlns:w="http://schemas.openxmlformats.org/wordprocessingml/2006/main">
  <w:body>
    <w:p>
      <w:r>
        <w:t>Z-0248.1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5183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Liias, Keiser, Conway, Dhingra, Hunt, Nguyen, Nobles, Shewmake, Stanford, Trudeau, Valdez, and C. Wilson; by request of Department of Social and Health Services</w:t>
      </w:r>
    </w:p>
    <w:p/>
    <w:p>
      <w:r>
        <w:rPr>
          <w:t xml:space="preserve">Prefiled 01/05/23.</w:t>
        </w:rPr>
      </w:r>
      <w:r>
        <w:rPr>
          <w:t xml:space="preserve">Read first time 01/09/23.  </w:t>
        </w:rPr>
      </w:r>
      <w:r>
        <w:rPr>
          <w:t xml:space="preserve">Referred to Committee on Human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raising the residential personal needs allowance; and amending RCW 74.09.340.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09</w:t>
      </w:r>
      <w:r>
        <w:rPr/>
        <w:t xml:space="preserve">.</w:t>
      </w:r>
      <w:r>
        <w:t xml:space="preserve">340</w:t>
      </w:r>
      <w:r>
        <w:rPr/>
        <w:t xml:space="preserve"> and 2022 c 164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RCW 72.36.160, beginning </w:t>
      </w:r>
      <w:r>
        <w:t>((</w:t>
      </w:r>
      <w:r>
        <w:rPr>
          <w:strike/>
        </w:rPr>
        <w:t xml:space="preserve">January 1, 2019</w:t>
      </w:r>
      <w:r>
        <w:t>))</w:t>
      </w:r>
      <w:r>
        <w:rPr/>
        <w:t xml:space="preserve"> </w:t>
      </w:r>
      <w:r>
        <w:rPr>
          <w:u w:val="single"/>
        </w:rPr>
        <w:t xml:space="preserve">July 1, 2023</w:t>
      </w:r>
      <w:r>
        <w:rPr/>
        <w:t xml:space="preserve">, the personal needs allowance for clients being served in medical institutions and in residential settings is </w:t>
      </w:r>
      <w:r>
        <w:t>((</w:t>
      </w:r>
      <w:r>
        <w:rPr>
          <w:strike/>
        </w:rPr>
        <w:t xml:space="preserve">$70</w:t>
      </w:r>
      <w:r>
        <w:t>))</w:t>
      </w:r>
      <w:r>
        <w:rPr/>
        <w:t xml:space="preserve"> </w:t>
      </w:r>
      <w:r>
        <w:rPr>
          <w:u w:val="single"/>
        </w:rPr>
        <w:t xml:space="preserve">$100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Beginning January 1, </w:t>
      </w:r>
      <w:r>
        <w:t>((</w:t>
      </w:r>
      <w:r>
        <w:rPr>
          <w:strike/>
        </w:rPr>
        <w:t xml:space="preserve">2020</w:t>
      </w:r>
      <w:r>
        <w:t>))</w:t>
      </w:r>
      <w:r>
        <w:rPr/>
        <w:t xml:space="preserve"> </w:t>
      </w:r>
      <w:r>
        <w:rPr>
          <w:u w:val="single"/>
        </w:rPr>
        <w:t xml:space="preserve">2024</w:t>
      </w:r>
      <w:r>
        <w:rPr/>
        <w:t xml:space="preserve">, and each year thereafter, </w:t>
      </w:r>
      <w:r>
        <w:t>((</w:t>
      </w:r>
      <w:r>
        <w:rPr>
          <w:strike/>
        </w:rPr>
        <w:t xml:space="preserve">subject to the availability of amounts appropriated for this specific purpose,</w:t>
      </w:r>
      <w:r>
        <w:t>))</w:t>
      </w:r>
      <w:r>
        <w:rPr/>
        <w:t xml:space="preserve"> the personal needs allowance for clients being served in medical institutions and in residential settings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Be adjusted for economic trends and conditions by increasing the allowance by the percentage cost-of-living adjustment for old-age, survivors, and disability social security benefits as published by the federal social security administration;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Not exceed the maximum personal needs allowance permissible under the federal social security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Unless subject to a separate determination of a monthly maintenance needs allowance for a community spouse by authority rule, beginning July 1, 2022, the personal needs allowance for a client receiving home and community-based waiver services authorized by home and community services while living at home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Be adjusted to an amount that is no less than 300 percent of the federal benefit rate;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Not exceed the maximum personal needs allowance permissible under the federal social security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e92e0a55dce48d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5183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437ed7c1448f2" /><Relationship Type="http://schemas.openxmlformats.org/officeDocument/2006/relationships/footer" Target="/word/footer1.xml" Id="R7e92e0a55dce48da" /></Relationships>
</file>