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f77e85c7f4e75" /></Relationships>
</file>

<file path=word/document.xml><?xml version="1.0" encoding="utf-8"?>
<w:document xmlns:w="http://schemas.openxmlformats.org/wordprocessingml/2006/main">
  <w:body>
    <w:p>
      <w:r>
        <w:t>S-1074.2</w:t>
      </w:r>
    </w:p>
    <w:p>
      <w:pPr>
        <w:jc w:val="center"/>
      </w:pPr>
      <w:r>
        <w:t>_______________________________________________</w:t>
      </w:r>
    </w:p>
    <w:p/>
    <w:p>
      <w:pPr>
        <w:jc w:val="center"/>
      </w:pPr>
      <w:r>
        <w:rPr>
          <w:b/>
        </w:rPr>
        <w:t>SUBSTITUTE SENATE BILL 5197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Kuderer, Saldaña, Frame, Nguyen, Nobles, Wellman,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forms and modifying certain eviction processes; amending RCW 59.18.410 and 59.18.057;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Any party, including an attorney or witness, upon written notice to the court, must be permitted to appear and participate in the proceeding remotely by video conference, or by telephone if authorized by the judge, at no cost to either party.</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w:t>
      </w:r>
      <w:r>
        <w:t>((</w:t>
      </w:r>
      <w:r>
        <w:rPr>
          <w:strike/>
        </w:rPr>
        <w:t xml:space="preserve">five court days have expired after entry of the judgment</w:t>
      </w:r>
      <w:r>
        <w:t>))</w:t>
      </w:r>
      <w:r>
        <w:rPr/>
        <w:t xml:space="preserve"> </w:t>
      </w:r>
      <w:r>
        <w:rPr>
          <w:u w:val="single"/>
        </w:rPr>
        <w:t xml:space="preserve">execution of the writ of restitution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r>
        <w:rPr>
          <w:u w:val="single"/>
        </w:rPr>
        <w:t xml:space="preserve">, unless the court determines any of the notices served were invalid or did not otherwise comply with the requirements of this chapter</w:t>
      </w:r>
      <w:r>
        <w:rPr/>
        <w:t xml:space="preserve">.</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t>
      </w:r>
      <w:r>
        <w:t>((</w:t>
      </w:r>
      <w:r>
        <w:rPr>
          <w:strike/>
        </w:rPr>
        <w:t xml:space="preserve">within thirty days from submission of the application</w:t>
      </w:r>
      <w:r>
        <w:t>))</w:t>
      </w:r>
      <w:r>
        <w:rPr/>
        <w:t xml:space="preserve">,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w:t>
      </w:r>
      <w:r>
        <w:t>((</w:t>
      </w:r>
      <w:r>
        <w:rPr>
          <w:strike/>
        </w:rPr>
        <w:t xml:space="preserve">For the period extending one year beyond the expiration of the eviction moratorium, if</w:t>
      </w:r>
      <w:r>
        <w:t>))</w:t>
      </w:r>
      <w:r>
        <w:rPr/>
        <w:t xml:space="preserve"> </w:t>
      </w:r>
      <w:r>
        <w:rPr>
          <w:u w:val="single"/>
        </w:rPr>
        <w:t xml:space="preserve">If</w:t>
      </w:r>
      <w:r>
        <w:rPr/>
        <w:t xml:space="preserve"> a tenant demonstrates an ability to pay in order to reinstate the tenancy by means of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
      <w:pPr>
        <w:jc w:val="center"/>
      </w:pPr>
      <w:r>
        <w:rPr>
          <w:b/>
        </w:rPr>
        <w:t>--- END ---</w:t>
      </w:r>
    </w:p>
    <w:sectPr>
      <w:pgNumType w:start="1"/>
      <w:footerReference xmlns:r="http://schemas.openxmlformats.org/officeDocument/2006/relationships" r:id="R6a89498c0e30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1e533cbe14cd1" /><Relationship Type="http://schemas.openxmlformats.org/officeDocument/2006/relationships/footer" Target="/word/footer1.xml" Id="R6a89498c0e3048c7" /></Relationships>
</file>