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57f710cd684929" /></Relationships>
</file>

<file path=word/document.xml><?xml version="1.0" encoding="utf-8"?>
<w:document xmlns:w="http://schemas.openxmlformats.org/wordprocessingml/2006/main">
  <w:body>
    <w:p>
      <w:r>
        <w:t>S-1587.1</w:t>
      </w:r>
    </w:p>
    <w:p>
      <w:pPr>
        <w:jc w:val="center"/>
      </w:pPr>
      <w:r>
        <w:t>_______________________________________________</w:t>
      </w:r>
    </w:p>
    <w:p/>
    <w:p>
      <w:pPr>
        <w:jc w:val="center"/>
      </w:pPr>
      <w:r>
        <w:rPr>
          <w:b/>
        </w:rPr>
        <w:t>SUBSTITUTE SENATE BILL 5198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Frame, Kuderer, Hasegawa, Hunt, Keiser, Lovelett, Nobles, Valdez, and C. Wilson)</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59.20.305, and 59.21.030;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three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w:t>
      </w:r>
      <w:r>
        <w:rPr>
          <w:u w:val="single"/>
        </w:rPr>
        <w:t xml:space="preserve">"Notice of opportunity to purchase" means a notice required under section 7 of this act;</w:t>
      </w:r>
    </w:p>
    <w:p>
      <w:pPr>
        <w:spacing w:before="0" w:after="0" w:line="408" w:lineRule="exact"/>
        <w:ind w:left="0" w:right="0" w:firstLine="576"/>
        <w:jc w:val="left"/>
      </w:pPr>
      <w:r>
        <w:rPr>
          <w:u w:val="single"/>
        </w:rPr>
        <w:t xml:space="preserve">(16)</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(24)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(25)</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$17,000 for a multisection home or of at least $11,000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rPr>
          <w:u w:val="single"/>
        </w:rPr>
        <w:t xml:space="preserve">the greater of</w:t>
      </w:r>
      <w:r>
        <w:rPr/>
        <w:t xml:space="preserve"> their </w:t>
      </w:r>
      <w:r>
        <w:t>((</w:t>
      </w:r>
      <w:r>
        <w:rPr>
          <w:strike/>
        </w:rPr>
        <w:t xml:space="preserve">assessed</w:t>
      </w:r>
      <w:r>
        <w:t>))</w:t>
      </w:r>
      <w:r>
        <w:rPr/>
        <w:t xml:space="preserve"> </w:t>
      </w:r>
      <w:r>
        <w:rPr>
          <w:u w:val="single"/>
        </w:rPr>
        <w:t xml:space="preserve">market</w:t>
      </w:r>
      <w:r>
        <w:rPr/>
        <w:t xml:space="preserve"> value, as determined </w:t>
      </w:r>
      <w:r>
        <w:t>((</w:t>
      </w:r>
      <w:r>
        <w:rPr>
          <w:strike/>
        </w:rPr>
        <w:t xml:space="preserve">by the county assessor as of the date the closure notice is issued</w:t>
      </w:r>
      <w:r>
        <w:t>))</w:t>
      </w:r>
      <w:r>
        <w:rPr/>
        <w:t xml:space="preserve"> </w:t>
      </w:r>
      <w:r>
        <w:rPr>
          <w:u w:val="single"/>
        </w:rPr>
        <w:t xml:space="preserve">prior to a change of use or sale of the property,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or</w:t>
      </w:r>
    </w:p>
    <w:p>
      <w:pPr>
        <w:spacing w:before="0" w:after="0" w:line="408" w:lineRule="exact"/>
        <w:ind w:left="0" w:right="0" w:firstLine="576"/>
        <w:jc w:val="left"/>
      </w:pPr>
      <w:r>
        <w:rPr>
          <w:u w:val="single"/>
        </w:rPr>
        <w:t xml:space="preserve">(v) The landlord provides relocation assistance of at least $17,000 for a multisection home and of at least $11,000 for a single section home at any point during the closure notice period and prior to a change of use or sale of the property. At such time as the assistance is paid, the tenant shall be given written notice of at least 24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a landlord must provide a written notice of opportunity to purchase a manufactured/mobile home community by certified mail or personal delivery to each tenant and to the department of commerce and the housing finance commission within 14 days after the date on which any advertisement, listing, or public notice is first made that the manufactured/mobile home community, or property on which it sits, is for sale or lease.</w:t>
      </w:r>
    </w:p>
    <w:p>
      <w:pPr>
        <w:spacing w:before="0" w:after="0" w:line="408" w:lineRule="exact"/>
        <w:ind w:left="0" w:right="0" w:firstLine="576"/>
        <w:jc w:val="left"/>
      </w:pPr>
      <w:r>
        <w:rPr/>
        <w:t xml:space="preserve">(2) The notice of opportunity to purchase required under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intends to sell or lease the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Qualified tenant organizations and eligible organizations have 45 days from the date on which the notice of opportunity to purchase was personally delivered or postmarked to provide the landlord with notice of intent to consider purchasing or leasing the manufactured/mobile home park, during which time the landlord shall not make a final acceptance of an offer to purchase or lease the park; and</w:t>
      </w:r>
    </w:p>
    <w:p>
      <w:pPr>
        <w:spacing w:before="0" w:after="0" w:line="408" w:lineRule="exact"/>
        <w:ind w:left="0" w:right="0" w:firstLine="576"/>
        <w:jc w:val="left"/>
      </w:pPr>
      <w:r>
        <w:rPr/>
        <w:t xml:space="preserve">(ii) If such notice of intent is provided to the landlord within 45 days, the landlord shall not make a final unconditional acceptance of an offer to purchase or lease the park from a person or entity other than a qualified tenant organization or eligible organization for an additional 12 months;</w:t>
      </w:r>
    </w:p>
    <w:p>
      <w:pPr>
        <w:spacing w:before="0" w:after="0" w:line="408" w:lineRule="exact"/>
        <w:ind w:left="0" w:right="0" w:firstLine="576"/>
        <w:jc w:val="left"/>
      </w:pPr>
      <w:r>
        <w:rPr/>
        <w:t xml:space="preserve">(c) A signed affidavit that discloses the advertised or listed selling price; and</w:t>
      </w:r>
    </w:p>
    <w:p>
      <w:pPr>
        <w:spacing w:before="0" w:after="0" w:line="408" w:lineRule="exact"/>
        <w:ind w:left="0" w:right="0" w:firstLine="576"/>
        <w:jc w:val="left"/>
      </w:pPr>
      <w:r>
        <w:rPr/>
        <w:t xml:space="preserve">(d) The contact information for the landlord or landlord's agent who is responsible for communicating with the tenants, qualified tenant organization,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manufactured/mobile home community or the property on which it sits if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within 45 days after the date on which a notice of opportunity to purchase was personally delivered or postmarked, the landlord receives notice from a qualified tenant organization or eligible organization expressing an intent to consider purchasing or leasing the manufactured/mobile home community, the landlord shall not make a final unconditional acceptance of an offer to purchase or lease the park from a person or entity other than a qualified tenant organization or eligible organization for an additional 12 months.</w:t>
      </w:r>
    </w:p>
    <w:p>
      <w:pPr>
        <w:spacing w:before="0" w:after="0" w:line="408" w:lineRule="exact"/>
        <w:ind w:left="0" w:right="0" w:firstLine="576"/>
        <w:jc w:val="left"/>
      </w:pPr>
      <w:r>
        <w:rPr/>
        <w:t xml:space="preserve">(2) If no qualified tenant organization or eligible organization provides notice expressing an intent to consider the purchase or lease within 45 days after the date on which a notice of opportunity to purchase was personally delivered or postmarked, the landlord is not subject to the restrictions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 8 of this act is required to negotiate in good faith with the landlord intending to sell or lease the manufactured/mobile home community or property 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purchase or lease manufactured/mobile home communities pursuant to section 7 of this act. The department of commerce must provide registered eligible organizations with notices of opportunity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7 or 8 of this act or RCW 59.20.305 is liable to the state of Washington for a civil penalty in the amount of $10,000. This penalty is the exclusive remedy for a violation of section 7 or 8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59.20.300, 59.20.305, and sections 7 and 12 of this act do not apply to any sale or transfer of a manufactured/mobile home community to a county in order to reduce conflicting residential uses near military installations.</w:t>
      </w:r>
    </w:p>
    <w:p/>
    <w:p>
      <w:pPr>
        <w:jc w:val="center"/>
      </w:pPr>
      <w:r>
        <w:rPr>
          <w:b/>
        </w:rPr>
        <w:t>--- END ---</w:t>
      </w:r>
    </w:p>
    <w:sectPr>
      <w:pgNumType w:start="1"/>
      <w:footerReference xmlns:r="http://schemas.openxmlformats.org/officeDocument/2006/relationships" r:id="R64ae40cffe9240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f2d7a9f1194775" /><Relationship Type="http://schemas.openxmlformats.org/officeDocument/2006/relationships/footer" Target="/word/footer1.xml" Id="R64ae40cffe924053" /></Relationships>
</file>